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AD7EF" w14:textId="3521E449" w:rsidR="00DE74AB" w:rsidRPr="008D441D" w:rsidRDefault="008D441D">
      <w:pPr>
        <w:rPr>
          <w:b/>
          <w:bCs/>
          <w:sz w:val="32"/>
          <w:szCs w:val="32"/>
          <w:u w:val="single"/>
          <w:lang w:val="en-US"/>
        </w:rPr>
      </w:pPr>
      <w:r w:rsidRPr="008D441D">
        <w:rPr>
          <w:b/>
          <w:bCs/>
          <w:sz w:val="32"/>
          <w:szCs w:val="32"/>
          <w:u w:val="single"/>
          <w:lang w:val="en-US"/>
        </w:rPr>
        <w:t>Data Dictionary</w:t>
      </w:r>
    </w:p>
    <w:tbl>
      <w:tblPr>
        <w:tblStyle w:val="TableGrid"/>
        <w:tblW w:w="0" w:type="auto"/>
        <w:tblLayout w:type="fixed"/>
        <w:tblLook w:val="04A0" w:firstRow="1" w:lastRow="0" w:firstColumn="1" w:lastColumn="0" w:noHBand="0" w:noVBand="1"/>
      </w:tblPr>
      <w:tblGrid>
        <w:gridCol w:w="2830"/>
        <w:gridCol w:w="1134"/>
        <w:gridCol w:w="5052"/>
      </w:tblGrid>
      <w:tr w:rsidR="00065A97" w:rsidRPr="00122815" w14:paraId="5398239B" w14:textId="77777777" w:rsidTr="00E40B95">
        <w:tc>
          <w:tcPr>
            <w:tcW w:w="2830" w:type="dxa"/>
            <w:shd w:val="clear" w:color="auto" w:fill="BFBFBF" w:themeFill="background1" w:themeFillShade="BF"/>
            <w:noWrap/>
            <w:vAlign w:val="center"/>
          </w:tcPr>
          <w:p w14:paraId="2669C5CD" w14:textId="4098387C" w:rsidR="00122815" w:rsidRPr="00122815" w:rsidRDefault="00122815" w:rsidP="00065A97">
            <w:pPr>
              <w:spacing w:beforeLines="20" w:before="48" w:afterLines="20" w:after="48"/>
              <w:rPr>
                <w:rFonts w:cs="Arial"/>
                <w:b/>
                <w:bCs/>
                <w:sz w:val="22"/>
                <w:szCs w:val="22"/>
              </w:rPr>
            </w:pPr>
            <w:r w:rsidRPr="00122815">
              <w:rPr>
                <w:rFonts w:cs="Arial"/>
                <w:b/>
                <w:bCs/>
                <w:sz w:val="22"/>
                <w:szCs w:val="22"/>
              </w:rPr>
              <w:t>Column Name</w:t>
            </w:r>
          </w:p>
        </w:tc>
        <w:tc>
          <w:tcPr>
            <w:tcW w:w="1134" w:type="dxa"/>
            <w:shd w:val="clear" w:color="auto" w:fill="BFBFBF" w:themeFill="background1" w:themeFillShade="BF"/>
            <w:noWrap/>
            <w:vAlign w:val="center"/>
          </w:tcPr>
          <w:p w14:paraId="42D5FF0C" w14:textId="087AD892" w:rsidR="00122815" w:rsidRPr="00122815" w:rsidRDefault="003B0F99" w:rsidP="00065A97">
            <w:pPr>
              <w:spacing w:beforeLines="20" w:before="48" w:afterLines="20" w:after="48"/>
              <w:rPr>
                <w:rFonts w:cs="Arial"/>
                <w:b/>
                <w:bCs/>
                <w:sz w:val="22"/>
                <w:szCs w:val="22"/>
              </w:rPr>
            </w:pPr>
            <w:r>
              <w:rPr>
                <w:rFonts w:cs="Arial"/>
                <w:b/>
                <w:bCs/>
                <w:sz w:val="22"/>
                <w:szCs w:val="22"/>
              </w:rPr>
              <w:t xml:space="preserve">Data </w:t>
            </w:r>
            <w:r w:rsidR="00122815" w:rsidRPr="00122815">
              <w:rPr>
                <w:rFonts w:cs="Arial"/>
                <w:b/>
                <w:bCs/>
                <w:sz w:val="22"/>
                <w:szCs w:val="22"/>
              </w:rPr>
              <w:t xml:space="preserve">Type </w:t>
            </w:r>
          </w:p>
        </w:tc>
        <w:tc>
          <w:tcPr>
            <w:tcW w:w="5052" w:type="dxa"/>
            <w:shd w:val="clear" w:color="auto" w:fill="BFBFBF" w:themeFill="background1" w:themeFillShade="BF"/>
            <w:noWrap/>
            <w:vAlign w:val="center"/>
          </w:tcPr>
          <w:p w14:paraId="26A64454" w14:textId="24DB3DFE" w:rsidR="00122815" w:rsidRPr="00122815" w:rsidRDefault="00122815" w:rsidP="00065A97">
            <w:pPr>
              <w:spacing w:beforeLines="20" w:before="48" w:afterLines="20" w:after="48"/>
              <w:rPr>
                <w:rFonts w:cs="Arial"/>
                <w:b/>
                <w:bCs/>
                <w:sz w:val="22"/>
                <w:szCs w:val="22"/>
              </w:rPr>
            </w:pPr>
            <w:r w:rsidRPr="00122815">
              <w:rPr>
                <w:rFonts w:cs="Arial"/>
                <w:b/>
                <w:bCs/>
                <w:sz w:val="22"/>
                <w:szCs w:val="22"/>
              </w:rPr>
              <w:t>Description</w:t>
            </w:r>
          </w:p>
        </w:tc>
      </w:tr>
      <w:tr w:rsidR="00065A97" w:rsidRPr="00122815" w14:paraId="470DEC3A" w14:textId="77777777" w:rsidTr="00E40B95">
        <w:tc>
          <w:tcPr>
            <w:tcW w:w="2830" w:type="dxa"/>
            <w:noWrap/>
            <w:vAlign w:val="center"/>
          </w:tcPr>
          <w:p w14:paraId="4011E32A" w14:textId="646D7E72"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iso_code</w:t>
            </w:r>
            <w:proofErr w:type="spellEnd"/>
          </w:p>
        </w:tc>
        <w:tc>
          <w:tcPr>
            <w:tcW w:w="1134" w:type="dxa"/>
            <w:noWrap/>
            <w:vAlign w:val="center"/>
          </w:tcPr>
          <w:p w14:paraId="0944A7F0" w14:textId="005F9381" w:rsidR="0000653A" w:rsidRPr="00122815" w:rsidRDefault="00076D61" w:rsidP="00065A97">
            <w:pPr>
              <w:spacing w:beforeLines="20" w:before="48" w:afterLines="20" w:after="48"/>
              <w:rPr>
                <w:rFonts w:cs="Arial"/>
                <w:sz w:val="21"/>
                <w:szCs w:val="21"/>
              </w:rPr>
            </w:pPr>
            <w:r>
              <w:rPr>
                <w:rFonts w:cs="Arial"/>
                <w:sz w:val="21"/>
                <w:szCs w:val="21"/>
              </w:rPr>
              <w:t>Object</w:t>
            </w:r>
          </w:p>
        </w:tc>
        <w:tc>
          <w:tcPr>
            <w:tcW w:w="5052" w:type="dxa"/>
            <w:noWrap/>
            <w:vAlign w:val="center"/>
          </w:tcPr>
          <w:p w14:paraId="29EB6852" w14:textId="3EC7D45D"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Three-letter country codes. Note that OWID-defined regions (e.g. continents like 'Europe') contain prefix 'OWID_'</w:t>
            </w:r>
          </w:p>
        </w:tc>
      </w:tr>
      <w:tr w:rsidR="00065A97" w:rsidRPr="00122815" w14:paraId="33AC59CD" w14:textId="77777777" w:rsidTr="00E40B95">
        <w:tc>
          <w:tcPr>
            <w:tcW w:w="2830" w:type="dxa"/>
            <w:noWrap/>
            <w:vAlign w:val="center"/>
          </w:tcPr>
          <w:p w14:paraId="067BB106" w14:textId="5798C630"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continent</w:t>
            </w:r>
          </w:p>
        </w:tc>
        <w:tc>
          <w:tcPr>
            <w:tcW w:w="1134" w:type="dxa"/>
            <w:noWrap/>
            <w:vAlign w:val="center"/>
          </w:tcPr>
          <w:p w14:paraId="5242F0EB" w14:textId="40CE53A3" w:rsidR="0000653A" w:rsidRPr="00122815" w:rsidRDefault="00076D61" w:rsidP="00065A97">
            <w:pPr>
              <w:spacing w:beforeLines="20" w:before="48" w:afterLines="20" w:after="48"/>
              <w:rPr>
                <w:rFonts w:cs="Arial"/>
                <w:sz w:val="21"/>
                <w:szCs w:val="21"/>
              </w:rPr>
            </w:pPr>
            <w:r>
              <w:rPr>
                <w:rFonts w:cs="Arial"/>
                <w:sz w:val="21"/>
                <w:szCs w:val="21"/>
              </w:rPr>
              <w:t>Object</w:t>
            </w:r>
          </w:p>
        </w:tc>
        <w:tc>
          <w:tcPr>
            <w:tcW w:w="5052" w:type="dxa"/>
            <w:noWrap/>
            <w:vAlign w:val="center"/>
          </w:tcPr>
          <w:p w14:paraId="6D215AFC" w14:textId="33157B7A"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Continent of the geographical location</w:t>
            </w:r>
          </w:p>
        </w:tc>
      </w:tr>
      <w:tr w:rsidR="00065A97" w:rsidRPr="00122815" w14:paraId="29C543F6" w14:textId="77777777" w:rsidTr="00E40B95">
        <w:tc>
          <w:tcPr>
            <w:tcW w:w="2830" w:type="dxa"/>
            <w:noWrap/>
            <w:vAlign w:val="center"/>
          </w:tcPr>
          <w:p w14:paraId="75FDE8CF" w14:textId="1AF7F30F"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location</w:t>
            </w:r>
          </w:p>
        </w:tc>
        <w:tc>
          <w:tcPr>
            <w:tcW w:w="1134" w:type="dxa"/>
            <w:noWrap/>
            <w:vAlign w:val="center"/>
          </w:tcPr>
          <w:p w14:paraId="28D93726" w14:textId="466B770C" w:rsidR="0000653A" w:rsidRPr="00122815" w:rsidRDefault="00076D61" w:rsidP="00065A97">
            <w:pPr>
              <w:spacing w:beforeLines="20" w:before="48" w:afterLines="20" w:after="48"/>
              <w:rPr>
                <w:rFonts w:cs="Arial"/>
                <w:sz w:val="21"/>
                <w:szCs w:val="21"/>
              </w:rPr>
            </w:pPr>
            <w:r>
              <w:rPr>
                <w:rFonts w:cs="Arial"/>
                <w:sz w:val="21"/>
                <w:szCs w:val="21"/>
              </w:rPr>
              <w:t>Object</w:t>
            </w:r>
          </w:p>
        </w:tc>
        <w:tc>
          <w:tcPr>
            <w:tcW w:w="5052" w:type="dxa"/>
            <w:noWrap/>
            <w:vAlign w:val="center"/>
          </w:tcPr>
          <w:p w14:paraId="302580A7" w14:textId="5A2EB7C2"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Geographical location</w:t>
            </w:r>
          </w:p>
        </w:tc>
      </w:tr>
      <w:tr w:rsidR="00065A97" w:rsidRPr="00122815" w14:paraId="482BDF3E" w14:textId="77777777" w:rsidTr="00E40B95">
        <w:tc>
          <w:tcPr>
            <w:tcW w:w="2830" w:type="dxa"/>
            <w:noWrap/>
            <w:vAlign w:val="center"/>
          </w:tcPr>
          <w:p w14:paraId="0FCCFE2D" w14:textId="35345533"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date</w:t>
            </w:r>
          </w:p>
        </w:tc>
        <w:tc>
          <w:tcPr>
            <w:tcW w:w="1134" w:type="dxa"/>
            <w:noWrap/>
            <w:vAlign w:val="center"/>
          </w:tcPr>
          <w:p w14:paraId="463FB49A" w14:textId="728C7150" w:rsidR="0000653A" w:rsidRPr="00122815" w:rsidRDefault="00076D61" w:rsidP="00065A97">
            <w:pPr>
              <w:spacing w:beforeLines="20" w:before="48" w:afterLines="20" w:after="48"/>
              <w:rPr>
                <w:rFonts w:cs="Arial"/>
                <w:sz w:val="21"/>
                <w:szCs w:val="21"/>
              </w:rPr>
            </w:pPr>
            <w:r>
              <w:rPr>
                <w:rFonts w:cs="Arial"/>
                <w:sz w:val="21"/>
                <w:szCs w:val="21"/>
              </w:rPr>
              <w:t>Datetime</w:t>
            </w:r>
          </w:p>
        </w:tc>
        <w:tc>
          <w:tcPr>
            <w:tcW w:w="5052" w:type="dxa"/>
            <w:noWrap/>
            <w:vAlign w:val="center"/>
          </w:tcPr>
          <w:p w14:paraId="150050E3" w14:textId="4D4C6F68"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Date of observation</w:t>
            </w:r>
          </w:p>
        </w:tc>
      </w:tr>
      <w:tr w:rsidR="00065A97" w:rsidRPr="00122815" w14:paraId="458A2536" w14:textId="77777777" w:rsidTr="00E40B95">
        <w:tc>
          <w:tcPr>
            <w:tcW w:w="2830" w:type="dxa"/>
            <w:noWrap/>
            <w:vAlign w:val="center"/>
          </w:tcPr>
          <w:p w14:paraId="56203200" w14:textId="33B55BB2"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total_cases_per_million</w:t>
            </w:r>
            <w:proofErr w:type="spellEnd"/>
          </w:p>
        </w:tc>
        <w:tc>
          <w:tcPr>
            <w:tcW w:w="1134" w:type="dxa"/>
            <w:noWrap/>
            <w:vAlign w:val="center"/>
          </w:tcPr>
          <w:p w14:paraId="2C2B1A18" w14:textId="28839155"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0C94DA5F" w14:textId="085AD222"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Total confirmed cases of COVID-19 per 1,000,000 people. Counts can include probable cases, where reported.</w:t>
            </w:r>
          </w:p>
        </w:tc>
      </w:tr>
      <w:tr w:rsidR="00065A97" w:rsidRPr="00122815" w14:paraId="0CEB061E" w14:textId="77777777" w:rsidTr="00E40B95">
        <w:tc>
          <w:tcPr>
            <w:tcW w:w="2830" w:type="dxa"/>
            <w:noWrap/>
            <w:vAlign w:val="center"/>
          </w:tcPr>
          <w:p w14:paraId="5FC25305" w14:textId="4F8B9128"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new_cases_per_million</w:t>
            </w:r>
            <w:proofErr w:type="spellEnd"/>
          </w:p>
        </w:tc>
        <w:tc>
          <w:tcPr>
            <w:tcW w:w="1134" w:type="dxa"/>
            <w:noWrap/>
            <w:vAlign w:val="center"/>
          </w:tcPr>
          <w:p w14:paraId="3CF7CED1" w14:textId="5A6B454A"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09C60644" w14:textId="1F3C24AA"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New confirmed cases of COVID-19 per 1,000,000 people. Counts can include probable cases, where reported.</w:t>
            </w:r>
          </w:p>
        </w:tc>
      </w:tr>
      <w:tr w:rsidR="00065A97" w:rsidRPr="00122815" w14:paraId="422735D8" w14:textId="77777777" w:rsidTr="00E40B95">
        <w:tc>
          <w:tcPr>
            <w:tcW w:w="2830" w:type="dxa"/>
            <w:noWrap/>
            <w:vAlign w:val="center"/>
          </w:tcPr>
          <w:p w14:paraId="2F567535" w14:textId="384C8F09"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new_cases_smoothed_per_million</w:t>
            </w:r>
            <w:proofErr w:type="spellEnd"/>
          </w:p>
        </w:tc>
        <w:tc>
          <w:tcPr>
            <w:tcW w:w="1134" w:type="dxa"/>
            <w:noWrap/>
            <w:vAlign w:val="center"/>
          </w:tcPr>
          <w:p w14:paraId="22DB3099" w14:textId="604E18CC"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4DE415DA" w14:textId="61575E14"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New confirmed cases of COVID-19 (7-day smoothed) per 1,000,000 people. Counts can include probable cases, where reported.</w:t>
            </w:r>
          </w:p>
        </w:tc>
      </w:tr>
      <w:tr w:rsidR="00065A97" w:rsidRPr="00122815" w14:paraId="76C97DE7" w14:textId="77777777" w:rsidTr="00E40B95">
        <w:tc>
          <w:tcPr>
            <w:tcW w:w="2830" w:type="dxa"/>
            <w:noWrap/>
            <w:vAlign w:val="center"/>
          </w:tcPr>
          <w:p w14:paraId="75497DA7" w14:textId="6C182E80"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total_deaths_per_million</w:t>
            </w:r>
            <w:proofErr w:type="spellEnd"/>
          </w:p>
        </w:tc>
        <w:tc>
          <w:tcPr>
            <w:tcW w:w="1134" w:type="dxa"/>
            <w:noWrap/>
            <w:vAlign w:val="center"/>
          </w:tcPr>
          <w:p w14:paraId="1F6655DF" w14:textId="2F1A400C"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33F91C90" w14:textId="6FC11AAD"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Total deaths attributed to COVID-19 per 1,000,000 people. Counts can include probable deaths, where reported.</w:t>
            </w:r>
          </w:p>
        </w:tc>
      </w:tr>
      <w:tr w:rsidR="00065A97" w:rsidRPr="00122815" w14:paraId="63BA1951" w14:textId="77777777" w:rsidTr="00E40B95">
        <w:tc>
          <w:tcPr>
            <w:tcW w:w="2830" w:type="dxa"/>
            <w:noWrap/>
            <w:vAlign w:val="center"/>
          </w:tcPr>
          <w:p w14:paraId="2AEFEC99" w14:textId="76BCC35B"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new_deaths_per_million</w:t>
            </w:r>
            <w:proofErr w:type="spellEnd"/>
          </w:p>
        </w:tc>
        <w:tc>
          <w:tcPr>
            <w:tcW w:w="1134" w:type="dxa"/>
            <w:noWrap/>
            <w:vAlign w:val="center"/>
          </w:tcPr>
          <w:p w14:paraId="51546FCA" w14:textId="1D17E274"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2F5179CA" w14:textId="5E2950E3"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New deaths attributed to COVID-19 per 1,000,000 people. Counts can include probable deaths, where reported.</w:t>
            </w:r>
          </w:p>
        </w:tc>
      </w:tr>
      <w:tr w:rsidR="00065A97" w:rsidRPr="00122815" w14:paraId="27BDD533" w14:textId="77777777" w:rsidTr="00E40B95">
        <w:tc>
          <w:tcPr>
            <w:tcW w:w="2830" w:type="dxa"/>
            <w:noWrap/>
            <w:vAlign w:val="center"/>
          </w:tcPr>
          <w:p w14:paraId="756A1795" w14:textId="429F78C3"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new_deaths_smoothed_per_million</w:t>
            </w:r>
            <w:proofErr w:type="spellEnd"/>
          </w:p>
        </w:tc>
        <w:tc>
          <w:tcPr>
            <w:tcW w:w="1134" w:type="dxa"/>
            <w:noWrap/>
            <w:vAlign w:val="center"/>
          </w:tcPr>
          <w:p w14:paraId="0217A332" w14:textId="38574AAB"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5FDC7693" w14:textId="7210FFFC"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New deaths attributed to COVID-19 (7-day smoothed) per 1,000,000 people. Counts can include probable deaths, where reported.</w:t>
            </w:r>
          </w:p>
        </w:tc>
      </w:tr>
      <w:tr w:rsidR="00065A97" w:rsidRPr="00122815" w14:paraId="6326DBE4" w14:textId="77777777" w:rsidTr="00E40B95">
        <w:tc>
          <w:tcPr>
            <w:tcW w:w="2830" w:type="dxa"/>
            <w:noWrap/>
            <w:vAlign w:val="center"/>
          </w:tcPr>
          <w:p w14:paraId="57DB06F0" w14:textId="7AE8B0AB"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reproduction_rate</w:t>
            </w:r>
            <w:proofErr w:type="spellEnd"/>
          </w:p>
        </w:tc>
        <w:tc>
          <w:tcPr>
            <w:tcW w:w="1134" w:type="dxa"/>
            <w:noWrap/>
            <w:vAlign w:val="center"/>
          </w:tcPr>
          <w:p w14:paraId="08A60BB1" w14:textId="07D84363"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651B4B5B" w14:textId="69E05EA9"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Real-time estimate of the effective reproduction rate (R) of COVID-19.</w:t>
            </w:r>
          </w:p>
        </w:tc>
      </w:tr>
      <w:tr w:rsidR="00065A97" w:rsidRPr="00122815" w14:paraId="4B8A0FAE" w14:textId="77777777" w:rsidTr="00E40B95">
        <w:tc>
          <w:tcPr>
            <w:tcW w:w="2830" w:type="dxa"/>
            <w:noWrap/>
            <w:vAlign w:val="center"/>
          </w:tcPr>
          <w:p w14:paraId="38A8D04E" w14:textId="4BCE9C89"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total_tests_per_thousand</w:t>
            </w:r>
            <w:proofErr w:type="spellEnd"/>
          </w:p>
        </w:tc>
        <w:tc>
          <w:tcPr>
            <w:tcW w:w="1134" w:type="dxa"/>
            <w:noWrap/>
            <w:vAlign w:val="center"/>
          </w:tcPr>
          <w:p w14:paraId="3F4C24D1" w14:textId="0E9DE876"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672D2FA7" w14:textId="602ADC76"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Total tests for COVID-19 per 1,000 people</w:t>
            </w:r>
          </w:p>
        </w:tc>
      </w:tr>
      <w:tr w:rsidR="00065A97" w:rsidRPr="00122815" w14:paraId="6A69BC92" w14:textId="77777777" w:rsidTr="00E40B95">
        <w:tc>
          <w:tcPr>
            <w:tcW w:w="2830" w:type="dxa"/>
            <w:noWrap/>
            <w:vAlign w:val="center"/>
          </w:tcPr>
          <w:p w14:paraId="0A886347" w14:textId="50581CE5"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new_tests_per_thousand</w:t>
            </w:r>
            <w:proofErr w:type="spellEnd"/>
          </w:p>
        </w:tc>
        <w:tc>
          <w:tcPr>
            <w:tcW w:w="1134" w:type="dxa"/>
            <w:noWrap/>
            <w:vAlign w:val="center"/>
          </w:tcPr>
          <w:p w14:paraId="2D553ED6" w14:textId="5AEBB2E2"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3A585961" w14:textId="675882B7"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New tests for COVID-19 per 1,000 people</w:t>
            </w:r>
          </w:p>
        </w:tc>
      </w:tr>
      <w:tr w:rsidR="00065A97" w:rsidRPr="00122815" w14:paraId="03E8FD0B" w14:textId="77777777" w:rsidTr="00E40B95">
        <w:tc>
          <w:tcPr>
            <w:tcW w:w="2830" w:type="dxa"/>
            <w:noWrap/>
            <w:vAlign w:val="center"/>
          </w:tcPr>
          <w:p w14:paraId="7574212D" w14:textId="5F5950F6"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new_tests_smoothed_per_thousand</w:t>
            </w:r>
            <w:proofErr w:type="spellEnd"/>
          </w:p>
        </w:tc>
        <w:tc>
          <w:tcPr>
            <w:tcW w:w="1134" w:type="dxa"/>
            <w:noWrap/>
            <w:vAlign w:val="center"/>
          </w:tcPr>
          <w:p w14:paraId="0329AA05" w14:textId="1F3A74E6"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706C403B" w14:textId="499B9D3E"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New tests for COVID-19 (7-day smoothed) per 1,000 people</w:t>
            </w:r>
          </w:p>
        </w:tc>
      </w:tr>
      <w:tr w:rsidR="00065A97" w:rsidRPr="00122815" w14:paraId="6EC9063A" w14:textId="77777777" w:rsidTr="00E40B95">
        <w:tc>
          <w:tcPr>
            <w:tcW w:w="2830" w:type="dxa"/>
            <w:noWrap/>
            <w:vAlign w:val="center"/>
          </w:tcPr>
          <w:p w14:paraId="1C403EE1" w14:textId="0083CA0F"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positive_rate</w:t>
            </w:r>
            <w:proofErr w:type="spellEnd"/>
          </w:p>
        </w:tc>
        <w:tc>
          <w:tcPr>
            <w:tcW w:w="1134" w:type="dxa"/>
            <w:noWrap/>
            <w:vAlign w:val="center"/>
          </w:tcPr>
          <w:p w14:paraId="67B8F3D6" w14:textId="20A36B81"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3D6F3820" w14:textId="71EC298A"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 xml:space="preserve">The share of COVID-19 tests that are positive, given as a rolling 7-day average (this is the inverse of </w:t>
            </w:r>
            <w:proofErr w:type="spellStart"/>
            <w:r>
              <w:rPr>
                <w:rFonts w:ascii="Aptos Narrow" w:hAnsi="Aptos Narrow"/>
                <w:color w:val="000000"/>
                <w:sz w:val="22"/>
                <w:szCs w:val="22"/>
              </w:rPr>
              <w:t>tests_per_case</w:t>
            </w:r>
            <w:proofErr w:type="spellEnd"/>
            <w:r>
              <w:rPr>
                <w:rFonts w:ascii="Aptos Narrow" w:hAnsi="Aptos Narrow"/>
                <w:color w:val="000000"/>
                <w:sz w:val="22"/>
                <w:szCs w:val="22"/>
              </w:rPr>
              <w:t>)</w:t>
            </w:r>
          </w:p>
        </w:tc>
      </w:tr>
      <w:tr w:rsidR="00065A97" w:rsidRPr="00122815" w14:paraId="788EF5E9" w14:textId="77777777" w:rsidTr="00E40B95">
        <w:tc>
          <w:tcPr>
            <w:tcW w:w="2830" w:type="dxa"/>
            <w:noWrap/>
            <w:vAlign w:val="center"/>
          </w:tcPr>
          <w:p w14:paraId="3100E0C6" w14:textId="5AEB4903"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tests_per_case</w:t>
            </w:r>
            <w:proofErr w:type="spellEnd"/>
          </w:p>
        </w:tc>
        <w:tc>
          <w:tcPr>
            <w:tcW w:w="1134" w:type="dxa"/>
            <w:noWrap/>
            <w:vAlign w:val="center"/>
          </w:tcPr>
          <w:p w14:paraId="09BBCF98" w14:textId="3860066F"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0517AE86" w14:textId="55594C86"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Tests conducted per new confirmed case of COVID-19, given as a rolling 7-day average.</w:t>
            </w:r>
          </w:p>
        </w:tc>
      </w:tr>
      <w:tr w:rsidR="00065A97" w:rsidRPr="00122815" w14:paraId="55375AC3" w14:textId="77777777" w:rsidTr="00E40B95">
        <w:tc>
          <w:tcPr>
            <w:tcW w:w="2830" w:type="dxa"/>
            <w:noWrap/>
            <w:vAlign w:val="center"/>
          </w:tcPr>
          <w:p w14:paraId="1F7CE46E" w14:textId="0F5CCE56"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tests_units</w:t>
            </w:r>
            <w:proofErr w:type="spellEnd"/>
          </w:p>
        </w:tc>
        <w:tc>
          <w:tcPr>
            <w:tcW w:w="1134" w:type="dxa"/>
            <w:noWrap/>
            <w:vAlign w:val="center"/>
          </w:tcPr>
          <w:p w14:paraId="1554224F" w14:textId="1247199B" w:rsidR="0000653A" w:rsidRPr="00122815" w:rsidRDefault="00076D61" w:rsidP="00065A97">
            <w:pPr>
              <w:spacing w:beforeLines="20" w:before="48" w:afterLines="20" w:after="48"/>
              <w:rPr>
                <w:rFonts w:cs="Arial"/>
                <w:sz w:val="21"/>
                <w:szCs w:val="21"/>
              </w:rPr>
            </w:pPr>
            <w:r>
              <w:rPr>
                <w:rFonts w:cs="Arial"/>
                <w:sz w:val="21"/>
                <w:szCs w:val="21"/>
              </w:rPr>
              <w:t>Object</w:t>
            </w:r>
          </w:p>
        </w:tc>
        <w:tc>
          <w:tcPr>
            <w:tcW w:w="5052" w:type="dxa"/>
            <w:noWrap/>
            <w:vAlign w:val="center"/>
          </w:tcPr>
          <w:p w14:paraId="57B4FC13" w14:textId="571DBB8B"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 xml:space="preserve">Units used by the location to report its testing data. A country file can't contain mixed units. All metrics concerning testing data use the specified test unit. Valid units are 'people tested' (number of people tested), 'tests performed' (number of tests performed. a </w:t>
            </w:r>
            <w:r>
              <w:rPr>
                <w:rFonts w:ascii="Aptos Narrow" w:hAnsi="Aptos Narrow"/>
                <w:color w:val="000000"/>
                <w:sz w:val="22"/>
                <w:szCs w:val="22"/>
              </w:rPr>
              <w:lastRenderedPageBreak/>
              <w:t xml:space="preserve">single person can be tested more than once </w:t>
            </w:r>
            <w:proofErr w:type="gramStart"/>
            <w:r>
              <w:rPr>
                <w:rFonts w:ascii="Aptos Narrow" w:hAnsi="Aptos Narrow"/>
                <w:color w:val="000000"/>
                <w:sz w:val="22"/>
                <w:szCs w:val="22"/>
              </w:rPr>
              <w:t>in a given</w:t>
            </w:r>
            <w:proofErr w:type="gramEnd"/>
            <w:r>
              <w:rPr>
                <w:rFonts w:ascii="Aptos Narrow" w:hAnsi="Aptos Narrow"/>
                <w:color w:val="000000"/>
                <w:sz w:val="22"/>
                <w:szCs w:val="22"/>
              </w:rPr>
              <w:t xml:space="preserve"> day) and 'samples tested' (number of samples tested. In some cases, more than one sample may be required to perform a given test.)</w:t>
            </w:r>
          </w:p>
        </w:tc>
      </w:tr>
      <w:tr w:rsidR="00065A97" w:rsidRPr="00122815" w14:paraId="22679DD2" w14:textId="77777777" w:rsidTr="00E40B95">
        <w:tc>
          <w:tcPr>
            <w:tcW w:w="2830" w:type="dxa"/>
            <w:noWrap/>
            <w:vAlign w:val="center"/>
          </w:tcPr>
          <w:p w14:paraId="47A1E054" w14:textId="76647ACD"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lastRenderedPageBreak/>
              <w:t>total_vaccinations_per_hundred</w:t>
            </w:r>
            <w:proofErr w:type="spellEnd"/>
          </w:p>
        </w:tc>
        <w:tc>
          <w:tcPr>
            <w:tcW w:w="1134" w:type="dxa"/>
            <w:noWrap/>
            <w:vAlign w:val="center"/>
          </w:tcPr>
          <w:p w14:paraId="2827C92A" w14:textId="4CAE0DB9"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195D1126" w14:textId="2AB0ABF3"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Total number of COVID-19 vaccination doses administered per 100 people in the total population</w:t>
            </w:r>
          </w:p>
        </w:tc>
      </w:tr>
      <w:tr w:rsidR="00065A97" w:rsidRPr="00122815" w14:paraId="0C82222E" w14:textId="77777777" w:rsidTr="00E40B95">
        <w:tc>
          <w:tcPr>
            <w:tcW w:w="2830" w:type="dxa"/>
            <w:noWrap/>
            <w:vAlign w:val="center"/>
          </w:tcPr>
          <w:p w14:paraId="7C1E51E9" w14:textId="07C80835"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total_boosters_per_hundred</w:t>
            </w:r>
            <w:proofErr w:type="spellEnd"/>
          </w:p>
        </w:tc>
        <w:tc>
          <w:tcPr>
            <w:tcW w:w="1134" w:type="dxa"/>
            <w:noWrap/>
            <w:vAlign w:val="center"/>
          </w:tcPr>
          <w:p w14:paraId="32394292" w14:textId="4C5157CF"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59BB964E" w14:textId="56C144B2"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Total number of COVID-19 vaccination booster doses administered per 100 people in the total population</w:t>
            </w:r>
          </w:p>
        </w:tc>
      </w:tr>
      <w:tr w:rsidR="00065A97" w:rsidRPr="00122815" w14:paraId="77EB0379" w14:textId="77777777" w:rsidTr="00E40B95">
        <w:tc>
          <w:tcPr>
            <w:tcW w:w="2830" w:type="dxa"/>
            <w:noWrap/>
            <w:vAlign w:val="center"/>
          </w:tcPr>
          <w:p w14:paraId="7765EB24" w14:textId="1FEF84F0"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new_vaccinations_smoothed_per_million</w:t>
            </w:r>
            <w:proofErr w:type="spellEnd"/>
          </w:p>
        </w:tc>
        <w:tc>
          <w:tcPr>
            <w:tcW w:w="1134" w:type="dxa"/>
            <w:noWrap/>
            <w:vAlign w:val="center"/>
          </w:tcPr>
          <w:p w14:paraId="1BFAB945" w14:textId="67A285BA"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7CA242D6" w14:textId="4F753C13"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New COVID-19 vaccination doses administered (7-day smoothed) per 1,000,000 people in the total population</w:t>
            </w:r>
          </w:p>
        </w:tc>
      </w:tr>
      <w:tr w:rsidR="00065A97" w:rsidRPr="00122815" w14:paraId="6C3EFF70" w14:textId="77777777" w:rsidTr="00E40B95">
        <w:tc>
          <w:tcPr>
            <w:tcW w:w="2830" w:type="dxa"/>
            <w:noWrap/>
            <w:vAlign w:val="center"/>
          </w:tcPr>
          <w:p w14:paraId="36947A09" w14:textId="42CBC10E"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stringency_index</w:t>
            </w:r>
            <w:proofErr w:type="spellEnd"/>
          </w:p>
        </w:tc>
        <w:tc>
          <w:tcPr>
            <w:tcW w:w="1134" w:type="dxa"/>
            <w:noWrap/>
            <w:vAlign w:val="center"/>
          </w:tcPr>
          <w:p w14:paraId="791A69FB" w14:textId="60F10F21"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0560C3AA" w14:textId="5F8E95D1"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Government Response Stringency Index: composite measure based on 9 response indicators including school closures, workplace closures, and travel bans, rescaled to a value from 0 to 100 (100 = strictest response)</w:t>
            </w:r>
          </w:p>
        </w:tc>
      </w:tr>
      <w:tr w:rsidR="00065A97" w:rsidRPr="00122815" w14:paraId="2B25EDAF" w14:textId="77777777" w:rsidTr="00E40B95">
        <w:tc>
          <w:tcPr>
            <w:tcW w:w="2830" w:type="dxa"/>
            <w:noWrap/>
            <w:vAlign w:val="center"/>
          </w:tcPr>
          <w:p w14:paraId="3B4B7637" w14:textId="2230AA7B" w:rsidR="00065A97" w:rsidRDefault="00065A97" w:rsidP="00065A97">
            <w:pPr>
              <w:spacing w:beforeLines="20" w:before="48" w:afterLines="20" w:after="48"/>
              <w:rPr>
                <w:rFonts w:ascii="Aptos Narrow" w:hAnsi="Aptos Narrow"/>
                <w:color w:val="000000"/>
                <w:sz w:val="22"/>
                <w:szCs w:val="22"/>
              </w:rPr>
            </w:pPr>
            <w:proofErr w:type="spellStart"/>
            <w:r>
              <w:rPr>
                <w:rFonts w:ascii="Aptos Narrow" w:hAnsi="Aptos Narrow"/>
                <w:color w:val="000000"/>
                <w:sz w:val="22"/>
                <w:szCs w:val="22"/>
              </w:rPr>
              <w:t>population_density</w:t>
            </w:r>
            <w:proofErr w:type="spellEnd"/>
          </w:p>
        </w:tc>
        <w:tc>
          <w:tcPr>
            <w:tcW w:w="1134" w:type="dxa"/>
            <w:noWrap/>
            <w:vAlign w:val="center"/>
          </w:tcPr>
          <w:p w14:paraId="5902FC0A" w14:textId="19F57DA3" w:rsidR="00065A97"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628BE03A" w14:textId="12F30A34" w:rsidR="00065A97" w:rsidRDefault="00065A97" w:rsidP="00065A97">
            <w:pPr>
              <w:spacing w:beforeLines="20" w:before="48" w:afterLines="20" w:after="48"/>
              <w:rPr>
                <w:rFonts w:ascii="Aptos Narrow" w:hAnsi="Aptos Narrow"/>
                <w:color w:val="000000"/>
                <w:sz w:val="22"/>
                <w:szCs w:val="22"/>
              </w:rPr>
            </w:pPr>
            <w:r w:rsidRPr="00065A97">
              <w:rPr>
                <w:rFonts w:ascii="Aptos Narrow" w:hAnsi="Aptos Narrow"/>
                <w:color w:val="000000"/>
                <w:sz w:val="22"/>
                <w:szCs w:val="22"/>
              </w:rPr>
              <w:t xml:space="preserve">Number of people divided by land area, measured in square </w:t>
            </w:r>
            <w:proofErr w:type="spellStart"/>
            <w:r w:rsidRPr="00065A97">
              <w:rPr>
                <w:rFonts w:ascii="Aptos Narrow" w:hAnsi="Aptos Narrow"/>
                <w:color w:val="000000"/>
                <w:sz w:val="22"/>
                <w:szCs w:val="22"/>
              </w:rPr>
              <w:t>kilometers</w:t>
            </w:r>
            <w:proofErr w:type="spellEnd"/>
            <w:r w:rsidRPr="00065A97">
              <w:rPr>
                <w:rFonts w:ascii="Aptos Narrow" w:hAnsi="Aptos Narrow"/>
                <w:color w:val="000000"/>
                <w:sz w:val="22"/>
                <w:szCs w:val="22"/>
              </w:rPr>
              <w:t>, most recent year available</w:t>
            </w:r>
          </w:p>
        </w:tc>
      </w:tr>
      <w:tr w:rsidR="00065A97" w:rsidRPr="00122815" w14:paraId="48276704" w14:textId="77777777" w:rsidTr="00E40B95">
        <w:tc>
          <w:tcPr>
            <w:tcW w:w="2830" w:type="dxa"/>
            <w:noWrap/>
            <w:vAlign w:val="center"/>
          </w:tcPr>
          <w:p w14:paraId="0DF1435A" w14:textId="1DBA1612"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median_age</w:t>
            </w:r>
            <w:proofErr w:type="spellEnd"/>
          </w:p>
        </w:tc>
        <w:tc>
          <w:tcPr>
            <w:tcW w:w="1134" w:type="dxa"/>
            <w:noWrap/>
            <w:vAlign w:val="center"/>
          </w:tcPr>
          <w:p w14:paraId="7BB19A0D" w14:textId="733D8921"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676FD410" w14:textId="7C1668DC"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Median age of the population, UN projection for 2020</w:t>
            </w:r>
          </w:p>
        </w:tc>
      </w:tr>
      <w:tr w:rsidR="00065A97" w:rsidRPr="00122815" w14:paraId="7D87D133" w14:textId="77777777" w:rsidTr="00E40B95">
        <w:tc>
          <w:tcPr>
            <w:tcW w:w="2830" w:type="dxa"/>
            <w:noWrap/>
            <w:vAlign w:val="center"/>
          </w:tcPr>
          <w:p w14:paraId="2AA7F24D" w14:textId="06ED7E2B"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aged_65_older</w:t>
            </w:r>
          </w:p>
        </w:tc>
        <w:tc>
          <w:tcPr>
            <w:tcW w:w="1134" w:type="dxa"/>
            <w:noWrap/>
            <w:vAlign w:val="center"/>
          </w:tcPr>
          <w:p w14:paraId="08073264" w14:textId="1AC2A955"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1724E592" w14:textId="02C1BC62"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Share of the population that is 65 years and older, most recent year available</w:t>
            </w:r>
          </w:p>
        </w:tc>
      </w:tr>
      <w:tr w:rsidR="00065A97" w:rsidRPr="00122815" w14:paraId="75B4BCCE" w14:textId="77777777" w:rsidTr="00E40B95">
        <w:tc>
          <w:tcPr>
            <w:tcW w:w="2830" w:type="dxa"/>
            <w:noWrap/>
            <w:vAlign w:val="center"/>
          </w:tcPr>
          <w:p w14:paraId="5E719673" w14:textId="600DF1FD"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aged_70_older</w:t>
            </w:r>
          </w:p>
        </w:tc>
        <w:tc>
          <w:tcPr>
            <w:tcW w:w="1134" w:type="dxa"/>
            <w:noWrap/>
            <w:vAlign w:val="center"/>
          </w:tcPr>
          <w:p w14:paraId="46A59C9C" w14:textId="38E6DC8C"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5A75D68D" w14:textId="5D64A3D6"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Share of the population that is 70 years and older in 2015</w:t>
            </w:r>
          </w:p>
        </w:tc>
      </w:tr>
      <w:tr w:rsidR="00065A97" w:rsidRPr="00122815" w14:paraId="1A57D79C" w14:textId="77777777" w:rsidTr="00E40B95">
        <w:tc>
          <w:tcPr>
            <w:tcW w:w="2830" w:type="dxa"/>
            <w:noWrap/>
            <w:vAlign w:val="center"/>
          </w:tcPr>
          <w:p w14:paraId="7BEF44FD" w14:textId="120963DC"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gdp_per_capita</w:t>
            </w:r>
            <w:proofErr w:type="spellEnd"/>
          </w:p>
        </w:tc>
        <w:tc>
          <w:tcPr>
            <w:tcW w:w="1134" w:type="dxa"/>
            <w:noWrap/>
            <w:vAlign w:val="center"/>
          </w:tcPr>
          <w:p w14:paraId="25369D5D" w14:textId="0BA7C952"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3B3FD193" w14:textId="78EE3756"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Gross domestic product at purchasing power parity (constant 2011 international dollars), most recent year available</w:t>
            </w:r>
          </w:p>
        </w:tc>
      </w:tr>
      <w:tr w:rsidR="00065A97" w:rsidRPr="00122815" w14:paraId="6947CA70" w14:textId="77777777" w:rsidTr="00E40B95">
        <w:tc>
          <w:tcPr>
            <w:tcW w:w="2830" w:type="dxa"/>
            <w:noWrap/>
            <w:vAlign w:val="center"/>
          </w:tcPr>
          <w:p w14:paraId="36F74208" w14:textId="0D48A672"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extreme_poverty</w:t>
            </w:r>
            <w:proofErr w:type="spellEnd"/>
          </w:p>
        </w:tc>
        <w:tc>
          <w:tcPr>
            <w:tcW w:w="1134" w:type="dxa"/>
            <w:noWrap/>
            <w:vAlign w:val="center"/>
          </w:tcPr>
          <w:p w14:paraId="46ACF5E3" w14:textId="3EE2F5D4"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7461DC27" w14:textId="65CDD2FA"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Share of the population living in extreme poverty, most recent year available since 2010</w:t>
            </w:r>
          </w:p>
        </w:tc>
      </w:tr>
      <w:tr w:rsidR="00065A97" w:rsidRPr="00122815" w14:paraId="30321526" w14:textId="77777777" w:rsidTr="00E40B95">
        <w:tc>
          <w:tcPr>
            <w:tcW w:w="2830" w:type="dxa"/>
            <w:noWrap/>
            <w:vAlign w:val="center"/>
          </w:tcPr>
          <w:p w14:paraId="022E17B6" w14:textId="37262DBE"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cardiovasc_death_rate</w:t>
            </w:r>
            <w:proofErr w:type="spellEnd"/>
          </w:p>
        </w:tc>
        <w:tc>
          <w:tcPr>
            <w:tcW w:w="1134" w:type="dxa"/>
            <w:noWrap/>
            <w:vAlign w:val="center"/>
          </w:tcPr>
          <w:p w14:paraId="3D505F9C" w14:textId="23FD91D8"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4F70A9E2" w14:textId="2423C106"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Death rate from cardiovascular disease in 2017 (annual number of deaths per 100,000 people)</w:t>
            </w:r>
          </w:p>
        </w:tc>
      </w:tr>
      <w:tr w:rsidR="00065A97" w:rsidRPr="00122815" w14:paraId="202B6814" w14:textId="77777777" w:rsidTr="00E40B95">
        <w:tc>
          <w:tcPr>
            <w:tcW w:w="2830" w:type="dxa"/>
            <w:noWrap/>
            <w:vAlign w:val="center"/>
          </w:tcPr>
          <w:p w14:paraId="0C6228AD" w14:textId="4EB5B30E"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diabetes_prevalence</w:t>
            </w:r>
            <w:proofErr w:type="spellEnd"/>
          </w:p>
        </w:tc>
        <w:tc>
          <w:tcPr>
            <w:tcW w:w="1134" w:type="dxa"/>
            <w:noWrap/>
            <w:vAlign w:val="center"/>
          </w:tcPr>
          <w:p w14:paraId="2CBF2E78" w14:textId="51D0DE6A"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3D667F38" w14:textId="0AB0D4DB"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Diabetes prevalence (% of population aged 20 to 79) in 2017</w:t>
            </w:r>
          </w:p>
        </w:tc>
      </w:tr>
      <w:tr w:rsidR="00065A97" w:rsidRPr="00122815" w14:paraId="5F05F504" w14:textId="77777777" w:rsidTr="00E40B95">
        <w:tc>
          <w:tcPr>
            <w:tcW w:w="2830" w:type="dxa"/>
            <w:noWrap/>
            <w:vAlign w:val="center"/>
          </w:tcPr>
          <w:p w14:paraId="3C448DD9" w14:textId="2BA3028B"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female_smokers</w:t>
            </w:r>
            <w:proofErr w:type="spellEnd"/>
          </w:p>
        </w:tc>
        <w:tc>
          <w:tcPr>
            <w:tcW w:w="1134" w:type="dxa"/>
            <w:noWrap/>
            <w:vAlign w:val="center"/>
          </w:tcPr>
          <w:p w14:paraId="2D029BB8" w14:textId="54F16545"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581CAC2C" w14:textId="3CE28896"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Share of women who smoke, most recent year available</w:t>
            </w:r>
          </w:p>
        </w:tc>
      </w:tr>
      <w:tr w:rsidR="00065A97" w:rsidRPr="00122815" w14:paraId="7F0C3762" w14:textId="77777777" w:rsidTr="00E40B95">
        <w:tc>
          <w:tcPr>
            <w:tcW w:w="2830" w:type="dxa"/>
            <w:noWrap/>
            <w:vAlign w:val="center"/>
          </w:tcPr>
          <w:p w14:paraId="02957CEA" w14:textId="27A55BE6"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male_smokers</w:t>
            </w:r>
            <w:proofErr w:type="spellEnd"/>
          </w:p>
        </w:tc>
        <w:tc>
          <w:tcPr>
            <w:tcW w:w="1134" w:type="dxa"/>
            <w:noWrap/>
            <w:vAlign w:val="center"/>
          </w:tcPr>
          <w:p w14:paraId="3BE5C40C" w14:textId="4BC6DCF6"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789ECC30" w14:textId="599EB0B7"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Share of men who smoke, most recent year available</w:t>
            </w:r>
          </w:p>
        </w:tc>
      </w:tr>
      <w:tr w:rsidR="00065A97" w:rsidRPr="00122815" w14:paraId="7761DB4A" w14:textId="77777777" w:rsidTr="00E40B95">
        <w:tc>
          <w:tcPr>
            <w:tcW w:w="2830" w:type="dxa"/>
            <w:noWrap/>
            <w:vAlign w:val="center"/>
          </w:tcPr>
          <w:p w14:paraId="12B5A4D0" w14:textId="0DC35263"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handwashing_facilities</w:t>
            </w:r>
            <w:proofErr w:type="spellEnd"/>
          </w:p>
        </w:tc>
        <w:tc>
          <w:tcPr>
            <w:tcW w:w="1134" w:type="dxa"/>
            <w:noWrap/>
            <w:vAlign w:val="center"/>
          </w:tcPr>
          <w:p w14:paraId="5D807CED" w14:textId="27179B7E"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2545873C" w14:textId="37EE4E99"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Share of the population with basic handwashing facilities on premises, most recent year available</w:t>
            </w:r>
          </w:p>
        </w:tc>
      </w:tr>
      <w:tr w:rsidR="00065A97" w:rsidRPr="00122815" w14:paraId="5DBB86FF" w14:textId="77777777" w:rsidTr="00E40B95">
        <w:tc>
          <w:tcPr>
            <w:tcW w:w="2830" w:type="dxa"/>
            <w:noWrap/>
            <w:vAlign w:val="center"/>
          </w:tcPr>
          <w:p w14:paraId="0026A591" w14:textId="193C4C8D"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hospital_beds_per_thousand</w:t>
            </w:r>
            <w:proofErr w:type="spellEnd"/>
          </w:p>
        </w:tc>
        <w:tc>
          <w:tcPr>
            <w:tcW w:w="1134" w:type="dxa"/>
            <w:noWrap/>
            <w:vAlign w:val="center"/>
          </w:tcPr>
          <w:p w14:paraId="65AA4C91" w14:textId="4FB4E73F"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51484CEA" w14:textId="4C4A0F8F"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Hospital beds per 1,000 people, most recent year available since 2010</w:t>
            </w:r>
          </w:p>
        </w:tc>
      </w:tr>
      <w:tr w:rsidR="00065A97" w:rsidRPr="00122815" w14:paraId="46934377" w14:textId="77777777" w:rsidTr="00E40B95">
        <w:tc>
          <w:tcPr>
            <w:tcW w:w="2830" w:type="dxa"/>
            <w:noWrap/>
            <w:vAlign w:val="center"/>
          </w:tcPr>
          <w:p w14:paraId="7E36C43E" w14:textId="3951739F"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life_expectancy</w:t>
            </w:r>
            <w:proofErr w:type="spellEnd"/>
          </w:p>
        </w:tc>
        <w:tc>
          <w:tcPr>
            <w:tcW w:w="1134" w:type="dxa"/>
            <w:noWrap/>
            <w:vAlign w:val="center"/>
          </w:tcPr>
          <w:p w14:paraId="16137609" w14:textId="6A1837BF"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03A40653" w14:textId="5043C1D5"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Life expectancy at birth in 2019</w:t>
            </w:r>
          </w:p>
        </w:tc>
      </w:tr>
      <w:tr w:rsidR="00065A97" w:rsidRPr="00122815" w14:paraId="3C52B966" w14:textId="77777777" w:rsidTr="00E40B95">
        <w:tc>
          <w:tcPr>
            <w:tcW w:w="2830" w:type="dxa"/>
            <w:noWrap/>
            <w:vAlign w:val="center"/>
          </w:tcPr>
          <w:p w14:paraId="1A90179B" w14:textId="04CD6FA9" w:rsidR="0000653A" w:rsidRPr="00122815" w:rsidRDefault="0000653A" w:rsidP="00065A97">
            <w:pPr>
              <w:spacing w:beforeLines="20" w:before="48" w:afterLines="20" w:after="48"/>
              <w:rPr>
                <w:rFonts w:cs="Arial"/>
                <w:sz w:val="21"/>
                <w:szCs w:val="21"/>
              </w:rPr>
            </w:pPr>
            <w:proofErr w:type="spellStart"/>
            <w:r>
              <w:rPr>
                <w:rFonts w:ascii="Aptos Narrow" w:hAnsi="Aptos Narrow"/>
                <w:color w:val="000000"/>
                <w:sz w:val="22"/>
                <w:szCs w:val="22"/>
              </w:rPr>
              <w:t>human_development_index</w:t>
            </w:r>
            <w:proofErr w:type="spellEnd"/>
          </w:p>
        </w:tc>
        <w:tc>
          <w:tcPr>
            <w:tcW w:w="1134" w:type="dxa"/>
            <w:noWrap/>
            <w:vAlign w:val="center"/>
          </w:tcPr>
          <w:p w14:paraId="24E653F3" w14:textId="3E1F8EC0" w:rsidR="0000653A" w:rsidRPr="00122815" w:rsidRDefault="00076D61" w:rsidP="00065A97">
            <w:pPr>
              <w:spacing w:beforeLines="20" w:before="48" w:afterLines="20" w:after="48"/>
              <w:rPr>
                <w:rFonts w:cs="Arial"/>
                <w:sz w:val="21"/>
                <w:szCs w:val="21"/>
              </w:rPr>
            </w:pPr>
            <w:r>
              <w:rPr>
                <w:rFonts w:cs="Arial"/>
                <w:sz w:val="21"/>
                <w:szCs w:val="21"/>
              </w:rPr>
              <w:t>Float</w:t>
            </w:r>
          </w:p>
        </w:tc>
        <w:tc>
          <w:tcPr>
            <w:tcW w:w="5052" w:type="dxa"/>
            <w:noWrap/>
            <w:vAlign w:val="center"/>
          </w:tcPr>
          <w:p w14:paraId="332F656C" w14:textId="6A063849"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A composite index measuring average achievement in three basic dimensions of human development</w:t>
            </w:r>
            <w:r w:rsidR="00065A97">
              <w:rPr>
                <w:rFonts w:ascii="Aptos Narrow" w:hAnsi="Aptos Narrow"/>
                <w:color w:val="000000"/>
                <w:sz w:val="22"/>
                <w:szCs w:val="22"/>
              </w:rPr>
              <w:t xml:space="preserve">: </w:t>
            </w:r>
            <w:r>
              <w:rPr>
                <w:rFonts w:ascii="Aptos Narrow" w:hAnsi="Aptos Narrow"/>
                <w:color w:val="000000"/>
                <w:sz w:val="22"/>
                <w:szCs w:val="22"/>
              </w:rPr>
              <w:t>a long and healthy life, knowledge and a decent standard of living. Values for 2019</w:t>
            </w:r>
          </w:p>
        </w:tc>
      </w:tr>
      <w:tr w:rsidR="00065A97" w:rsidRPr="00122815" w14:paraId="00F44AE5" w14:textId="77777777" w:rsidTr="00E40B95">
        <w:tc>
          <w:tcPr>
            <w:tcW w:w="2830" w:type="dxa"/>
            <w:noWrap/>
            <w:vAlign w:val="center"/>
          </w:tcPr>
          <w:p w14:paraId="4C9F5DBD" w14:textId="58415227"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population</w:t>
            </w:r>
          </w:p>
        </w:tc>
        <w:tc>
          <w:tcPr>
            <w:tcW w:w="1134" w:type="dxa"/>
            <w:noWrap/>
            <w:vAlign w:val="center"/>
          </w:tcPr>
          <w:p w14:paraId="18DBF3C7" w14:textId="5A0FBAF1" w:rsidR="0000653A" w:rsidRPr="00122815" w:rsidRDefault="00076D61" w:rsidP="00065A97">
            <w:pPr>
              <w:spacing w:beforeLines="20" w:before="48" w:afterLines="20" w:after="48"/>
              <w:rPr>
                <w:rFonts w:cs="Arial"/>
                <w:sz w:val="21"/>
                <w:szCs w:val="21"/>
              </w:rPr>
            </w:pPr>
            <w:r>
              <w:rPr>
                <w:rFonts w:cs="Arial"/>
                <w:sz w:val="21"/>
                <w:szCs w:val="21"/>
              </w:rPr>
              <w:t>Integer</w:t>
            </w:r>
          </w:p>
        </w:tc>
        <w:tc>
          <w:tcPr>
            <w:tcW w:w="5052" w:type="dxa"/>
            <w:noWrap/>
            <w:vAlign w:val="center"/>
          </w:tcPr>
          <w:p w14:paraId="4923E425" w14:textId="5791626B" w:rsidR="0000653A" w:rsidRPr="00122815" w:rsidRDefault="0000653A" w:rsidP="00065A97">
            <w:pPr>
              <w:spacing w:beforeLines="20" w:before="48" w:afterLines="20" w:after="48"/>
              <w:rPr>
                <w:rFonts w:cs="Arial"/>
                <w:sz w:val="21"/>
                <w:szCs w:val="21"/>
              </w:rPr>
            </w:pPr>
            <w:r>
              <w:rPr>
                <w:rFonts w:ascii="Aptos Narrow" w:hAnsi="Aptos Narrow"/>
                <w:color w:val="000000"/>
                <w:sz w:val="22"/>
                <w:szCs w:val="22"/>
              </w:rPr>
              <w:t>Population (latest available values).</w:t>
            </w:r>
          </w:p>
        </w:tc>
      </w:tr>
    </w:tbl>
    <w:p w14:paraId="657CA898" w14:textId="77777777" w:rsidR="008D441D" w:rsidRPr="008D441D" w:rsidRDefault="008D441D" w:rsidP="00065A97"/>
    <w:sectPr w:rsidR="008D441D" w:rsidRPr="008D4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54ABD"/>
    <w:multiLevelType w:val="hybridMultilevel"/>
    <w:tmpl w:val="FA3084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0288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1D"/>
    <w:rsid w:val="0000653A"/>
    <w:rsid w:val="000319EF"/>
    <w:rsid w:val="00065A97"/>
    <w:rsid w:val="00076D61"/>
    <w:rsid w:val="00122815"/>
    <w:rsid w:val="001B3686"/>
    <w:rsid w:val="003B0F99"/>
    <w:rsid w:val="003C5524"/>
    <w:rsid w:val="00417BFE"/>
    <w:rsid w:val="004608A2"/>
    <w:rsid w:val="0051031C"/>
    <w:rsid w:val="00637143"/>
    <w:rsid w:val="006E6487"/>
    <w:rsid w:val="006F30D1"/>
    <w:rsid w:val="0078076D"/>
    <w:rsid w:val="007B631C"/>
    <w:rsid w:val="007C50D1"/>
    <w:rsid w:val="00884814"/>
    <w:rsid w:val="008D441D"/>
    <w:rsid w:val="00952DF5"/>
    <w:rsid w:val="009F4812"/>
    <w:rsid w:val="00BF7CB1"/>
    <w:rsid w:val="00C36930"/>
    <w:rsid w:val="00DE74AB"/>
    <w:rsid w:val="00E40B9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09E0"/>
  <w15:chartTrackingRefBased/>
  <w15:docId w15:val="{791D9558-A903-4D39-841F-78DD4C6C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41D"/>
    <w:rPr>
      <w:rFonts w:eastAsiaTheme="majorEastAsia" w:cstheme="majorBidi"/>
      <w:color w:val="272727" w:themeColor="text1" w:themeTint="D8"/>
    </w:rPr>
  </w:style>
  <w:style w:type="paragraph" w:styleId="Title">
    <w:name w:val="Title"/>
    <w:basedOn w:val="Normal"/>
    <w:next w:val="Normal"/>
    <w:link w:val="TitleChar"/>
    <w:uiPriority w:val="10"/>
    <w:qFormat/>
    <w:rsid w:val="008D4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41D"/>
    <w:pPr>
      <w:spacing w:before="160"/>
      <w:jc w:val="center"/>
    </w:pPr>
    <w:rPr>
      <w:i/>
      <w:iCs/>
      <w:color w:val="404040" w:themeColor="text1" w:themeTint="BF"/>
    </w:rPr>
  </w:style>
  <w:style w:type="character" w:customStyle="1" w:styleId="QuoteChar">
    <w:name w:val="Quote Char"/>
    <w:basedOn w:val="DefaultParagraphFont"/>
    <w:link w:val="Quote"/>
    <w:uiPriority w:val="29"/>
    <w:rsid w:val="008D441D"/>
    <w:rPr>
      <w:i/>
      <w:iCs/>
      <w:color w:val="404040" w:themeColor="text1" w:themeTint="BF"/>
    </w:rPr>
  </w:style>
  <w:style w:type="paragraph" w:styleId="ListParagraph">
    <w:name w:val="List Paragraph"/>
    <w:basedOn w:val="Normal"/>
    <w:uiPriority w:val="34"/>
    <w:qFormat/>
    <w:rsid w:val="008D441D"/>
    <w:pPr>
      <w:ind w:left="720"/>
      <w:contextualSpacing/>
    </w:pPr>
  </w:style>
  <w:style w:type="character" w:styleId="IntenseEmphasis">
    <w:name w:val="Intense Emphasis"/>
    <w:basedOn w:val="DefaultParagraphFont"/>
    <w:uiPriority w:val="21"/>
    <w:qFormat/>
    <w:rsid w:val="008D441D"/>
    <w:rPr>
      <w:i/>
      <w:iCs/>
      <w:color w:val="0F4761" w:themeColor="accent1" w:themeShade="BF"/>
    </w:rPr>
  </w:style>
  <w:style w:type="paragraph" w:styleId="IntenseQuote">
    <w:name w:val="Intense Quote"/>
    <w:basedOn w:val="Normal"/>
    <w:next w:val="Normal"/>
    <w:link w:val="IntenseQuoteChar"/>
    <w:uiPriority w:val="30"/>
    <w:qFormat/>
    <w:rsid w:val="008D4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41D"/>
    <w:rPr>
      <w:i/>
      <w:iCs/>
      <w:color w:val="0F4761" w:themeColor="accent1" w:themeShade="BF"/>
    </w:rPr>
  </w:style>
  <w:style w:type="character" w:styleId="IntenseReference">
    <w:name w:val="Intense Reference"/>
    <w:basedOn w:val="DefaultParagraphFont"/>
    <w:uiPriority w:val="32"/>
    <w:qFormat/>
    <w:rsid w:val="008D441D"/>
    <w:rPr>
      <w:b/>
      <w:bCs/>
      <w:smallCaps/>
      <w:color w:val="0F4761" w:themeColor="accent1" w:themeShade="BF"/>
      <w:spacing w:val="5"/>
    </w:rPr>
  </w:style>
  <w:style w:type="table" w:styleId="TableGrid">
    <w:name w:val="Table Grid"/>
    <w:basedOn w:val="TableNormal"/>
    <w:uiPriority w:val="39"/>
    <w:rsid w:val="008D4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Pan</dc:creator>
  <cp:keywords/>
  <dc:description/>
  <cp:lastModifiedBy>Matthew Pan</cp:lastModifiedBy>
  <cp:revision>11</cp:revision>
  <dcterms:created xsi:type="dcterms:W3CDTF">2025-08-01T03:34:00Z</dcterms:created>
  <dcterms:modified xsi:type="dcterms:W3CDTF">2025-08-01T14:30:00Z</dcterms:modified>
</cp:coreProperties>
</file>