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Fill Out Clinical Programs Case Opening Form</w:t>
            </w:r>
          </w:p>
        </w:tc>
      </w:tr>
    </w:tbl>
    <w:p w:rsidR="005E2232" w:rsidRDefault="005E2232">
      <w:pPr>
        <w:rPr>
          <w:b/>
          <w:bCs/>
        </w:rPr>
      </w:pPr>
    </w:p>
    <w:p w:rsidR="00BD3245" w:rsidRDefault="00BD3245" w:rsidP="00BD3245">
      <w:r>
        <w:t xml:space="preserve">Congratulations {{ users }}! You have finished all the forms you need to Fill Out Clinical Programs Case Opening Form. The rest of the pages in t</w:t>
      </w:r>
      <w:r w:rsidR="00A73AFC">
        <w:t xml:space="preserve">his packet are your completed Clinical Programs Case Opening Form.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to {{ showifdef('other_parties[0]') }} or their attorney.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{{ showifdef('other_parties[0]') }}</w:t>
      </w:r>
      <w:r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showifdef('other_parties[0]') }} </w:t>
      </w:r>
      <w:r>
        <w:t>do?</w:t>
      </w:r>
    </w:p>
    <w:p w:rsidR="005E2232" w:rsidRDefault="00FA20A5">
      <w:r>
        <w:rPr>
          <w14:textOutline w14:w="9525" w14:cap="rnd" w14:cmpd="sng" w14:algn="ctr">
            <w14:noFill/>
            <w14:prstDash w14:val="solid"/>
            <w14:bevel/>
          </w14:textOutline>
        </w:rPr>
        <w:t>{{ showifdef('other_parties[0]')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{{ showifdef('other_parties[0]')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63D" w:rsidRDefault="003E663D" w:rsidP="00FA20A5">
      <w:pPr>
        <w:spacing w:after="0"/>
      </w:pPr>
      <w:r>
        <w:separator/>
      </w:r>
    </w:p>
  </w:endnote>
  <w:endnote w:type="continuationSeparator" w:id="0">
    <w:p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0A5" w:rsidRDefault="00FA20A5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FA20A5" w:rsidRDefault="00FA20A5" w:rsidP="00FA20A5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:rsidR="00FA20A5" w:rsidRDefault="00FA20A5" w:rsidP="00FA20A5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FA20A5" w:rsidRDefault="00FA20A5" w:rsidP="00FA20A5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  <w:p w:rsidR="00FA20A5" w:rsidRDefault="00FA20A5" w:rsidP="00FA20A5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63D" w:rsidRDefault="003E663D" w:rsidP="00FA20A5">
      <w:pPr>
        <w:spacing w:after="0"/>
      </w:pPr>
      <w:r>
        <w:separator/>
      </w:r>
    </w:p>
  </w:footnote>
  <w:footnote w:type="continuationSeparator" w:id="0">
    <w:p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32"/>
    <w:rsid w:val="00111016"/>
    <w:rsid w:val="001F354F"/>
    <w:rsid w:val="00262A27"/>
    <w:rsid w:val="003E663D"/>
    <w:rsid w:val="005E2232"/>
    <w:rsid w:val="008F1C34"/>
    <w:rsid w:val="00A73AFC"/>
    <w:rsid w:val="00AC5308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475A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736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Steenhuis, Quinten</cp:lastModifiedBy>
  <cp:revision>14</cp:revision>
  <cp:lastPrinted>2020-09-16T15:54:00Z</cp:lastPrinted>
  <dcterms:created xsi:type="dcterms:W3CDTF">2021-03-08T18:09:00Z</dcterms:created>
  <dcterms:modified xsi:type="dcterms:W3CDTF">2021-05-27T14:28:00Z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