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11.png" ContentType="image/png"/>
  <Override PartName="/word/media/rId116.png" ContentType="image/png"/>
  <Override PartName="/word/media/rId121.png" ContentType="image/png"/>
  <Override PartName="/word/media/rId38.png" ContentType="image/png"/>
  <Override PartName="/word/media/rId60.jpg" ContentType="image/jpeg"/>
  <Override PartName="/word/media/rId81.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4 chatbots- for a total of 168 row of data, 5 per participant. 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 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p>
      <w:pPr>
        <w:pStyle w:val="BodyText"/>
      </w:pPr>
      <w:r>
        <w:t xml:space="preserve">Most learners use books or online books as resources. Of course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Current_Materials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r>
        <w:tc>
          <w:tcPr/>
          <w:p>
            <w:pPr>
              <w:pStyle w:val="Compact"/>
              <w:jc w:val="left"/>
            </w:pPr>
            <w:r>
              <w:t xml:space="preserve">Online journals/books</w:t>
            </w:r>
          </w:p>
        </w:tc>
        <w:tc>
          <w:tcPr/>
          <w:p>
            <w:pPr>
              <w:pStyle w:val="Compact"/>
              <w:jc w:val="right"/>
            </w:pPr>
            <w:r>
              <w:t xml:space="preserve">13</w:t>
            </w:r>
          </w:p>
        </w:tc>
      </w:tr>
      <w:tr>
        <w:tc>
          <w:tcPr/>
          <w:p>
            <w:pPr>
              <w:pStyle w:val="Compact"/>
              <w:jc w:val="left"/>
            </w:pPr>
            <w:r>
              <w:t xml:space="preserve">Online videos/interactive material</w:t>
            </w:r>
          </w:p>
        </w:tc>
        <w:tc>
          <w:tcPr/>
          <w:p>
            <w:pPr>
              <w:pStyle w:val="Compact"/>
              <w:jc w:val="right"/>
            </w:pPr>
            <w:r>
              <w:t xml:space="preserve">6</w:t>
            </w:r>
          </w:p>
        </w:tc>
      </w:tr>
    </w:tbl>
    <w:p>
      <w:pPr>
        <w:pStyle w:val="BodyText"/>
      </w:pPr>
      <w:r>
        <w:t xml:space="preserve">This can be supported when asked the amount of time participants have used a chatbot- in any form or subject: 23 stated they had never used a chatbot, being educational or not. 2 individuals had spent what would be extensive time with usage- these were the Learning Technologist and Mature Student.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 to face workshop or course. Student participants joined from Greece, Cyprus, Sweden, and the United Kingdom.</w:t>
      </w:r>
      <w:r>
        <w:t xml:space="preserve"> </w:t>
      </w:r>
      <w:r>
        <w:t xml:space="preserve">A repeated measures design was used as the same group measures were taken before and after usage of the chatbots. 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 Then, participants used the chatbot resources independently and technical support was provided. Finally, post-intervention measures were recorded.</w:t>
      </w:r>
    </w:p>
    <w:p>
      <w:pPr>
        <w:pStyle w:val="BodyText"/>
      </w:pPr>
      <w:r>
        <w:t xml:space="preserve">Some of the participants were invited to participate in Focus Group Discussions (FGD), and each FGD lasted between 15 to 25 minutes, with 5-10 participants. 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 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 Descriptive data was produced alongside repeated measures t-tests. Repeated measures t-tests were the appropriate test to use as this explores differences between groups, there were no covariates and we did not have several dependant variables. There was one Independent factor being Chatbot use having 2 levels (pre/post). 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 Denecke and Warren ​[2]​ derived several quality dimensions and attributes from previous chatbot literature. 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 CUQ can be used alongside the prevalent System Usability Scale Score (SUS) ​[5]​. 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 A recent extension of the UTAUT2 model added five (health, convenience comfort, sustainability, safety, security, and personal innovativeness) additional influencing factors to accommodate for AI [7]. 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w:t>
      </w:r>
      <w:r>
        <w:t xml:space="preserve"> </w:t>
      </w:r>
      <w:r>
        <w:t xml:space="preserve">Focus groups are a form of qualitative research consisting of interviews or structured discussions, in which a group of people are asked about their perceptions, opinions, beliefs, and attitudes towards a product, service, concept, advertisement, idea, or packaging.</w:t>
      </w:r>
      <w:r>
        <w:t xml:space="preserve"> </w:t>
      </w:r>
      <w:r>
        <w:t xml:space="preserve">Questions are asked in an interactive group setting where participants are free to talk with other group members.</w:t>
      </w:r>
      <w:r>
        <w:t xml:space="preserve"> </w:t>
      </w:r>
      <w:r>
        <w:t xml:space="preserve">During this process, the researcher either takes notes or records the vital points he or she is getting from the group.</w:t>
      </w:r>
      <w:r>
        <w:t xml:space="preserve"> </w:t>
      </w:r>
      <w:r>
        <w:t xml:space="preserve">Researchers select members of the focus group carefully for effective and authoritative responses.</w:t>
      </w:r>
      <w:r>
        <w:t xml:space="preserve"> </w:t>
      </w:r>
      <w:r>
        <w:t xml:space="preserve">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w:t>
      </w:r>
      <w:r>
        <w:t xml:space="preserve"> </w:t>
      </w:r>
      <w:r>
        <w:t xml:space="preserve">These sessions, spanning no more than 1-1.5 hours and consisting of no more than 5-7 persons each explored all axes of curricular integration such as accessibility in the classroom, use case scenarios, technology requirements for curricular integration etc.</w:t>
      </w:r>
      <w:r>
        <w:t xml:space="preserve"> </w:t>
      </w:r>
      <w:r>
        <w:t xml:space="preserve">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r>
        <w:t xml:space="preserve"> </w:t>
      </w:r>
      <w:r>
        <w:t xml:space="preserve">Figure 1: Flow diagram of the recruitment process</w:t>
      </w:r>
    </w:p>
    <w:bookmarkEnd w:id="33"/>
    <w:bookmarkEnd w:id="34"/>
    <w:bookmarkEnd w:id="35"/>
    <w:bookmarkStart w:id="45" w:name="rmd-basics"/>
    <w:p>
      <w:pPr>
        <w:pStyle w:val="Heading1"/>
      </w:pPr>
      <w:r>
        <w:rPr>
          <w:rStyle w:val="SectionNumber"/>
        </w:rPr>
        <w:t xml:space="preserve">2</w:t>
      </w:r>
      <w:r>
        <w:tab/>
      </w:r>
      <w:r>
        <w:t xml:space="preserve">Results</w:t>
      </w:r>
    </w:p>
    <w:p>
      <w:pPr>
        <w:pStyle w:val="FirstParagraph"/>
      </w:pPr>
    </w:p>
    <w:p>
      <w:pPr>
        <w:pStyle w:val="BodyText"/>
      </w:pPr>
      <w:r>
        <w:t xml:space="preserve"> </w:t>
      </w:r>
      <w:r>
        <w:t xml:space="preserve">## Chatbot Usabilty Questionanire (CUQ)</w:t>
      </w:r>
    </w:p>
    <w:bookmarkStart w:id="41" w:name="cuq-calcuation-tool"/>
    <w:p>
      <w:pPr>
        <w:pStyle w:val="Heading3"/>
      </w:pPr>
      <w:r>
        <w:rPr>
          <w:rStyle w:val="SectionNumber"/>
        </w:rPr>
        <w:t xml:space="preserve">2.0.1</w:t>
      </w:r>
      <w:r>
        <w:tab/>
      </w:r>
      <w:r>
        <w:t xml:space="preserve">CUQ Calcuation tool</w:t>
      </w:r>
    </w:p>
    <w:p>
      <w:pPr>
        <w:pStyle w:val="FirstParagraph"/>
      </w:pPr>
      <w:r>
        <w:t xml:space="preserve">The CUQ was developed by researchers at Ulster University (see)</w:t>
      </w:r>
      <w:r>
        <w:t xml:space="preserve"> </w:t>
      </w:r>
      <w:hyperlink r:id="rId36"/>
      <w:r>
        <w:t xml:space="preserve">{</w:t>
      </w:r>
      <w:r>
        <w:t xml:space="preserve">CUQ</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37">
        <w:r>
          <w:rPr>
            <w:rStyle w:val="Hyperlink"/>
          </w:rPr>
          <w:t xml:space="preserve">click here to download CUQ calc tool</w:t>
        </w:r>
      </w:hyperlink>
    </w:p>
    <w:p>
      <w:pPr>
        <w:pStyle w:val="BodyText"/>
      </w:pPr>
      <w:r>
        <w:t xml:space="preserve">The results are as followed:</w:t>
      </w:r>
    </w:p>
    <w:p>
      <w:pPr>
        <w:pStyle w:val="BodyText"/>
      </w:pPr>
      <w:r>
        <w:drawing>
          <wp:inline>
            <wp:extent cx="5334000" cy="4532599"/>
            <wp:effectExtent b="0" l="0" r="0" t="0"/>
            <wp:docPr descr="" title="" id="39" name="Picture"/>
            <a:graphic>
              <a:graphicData uri="http://schemas.openxmlformats.org/drawingml/2006/picture">
                <pic:pic>
                  <pic:nvPicPr>
                    <pic:cNvPr descr="cuq.png" id="40" name="Picture"/>
                    <pic:cNvPicPr>
                      <a:picLocks noChangeArrowheads="1" noChangeAspect="1"/>
                    </pic:cNvPicPr>
                  </pic:nvPicPr>
                  <pic:blipFill>
                    <a:blip r:embed="rId38"/>
                    <a:stretch>
                      <a:fillRect/>
                    </a:stretch>
                  </pic:blipFill>
                  <pic:spPr bwMode="auto">
                    <a:xfrm>
                      <a:off x="0" y="0"/>
                      <a:ext cx="5334000" cy="4532599"/>
                    </a:xfrm>
                    <a:prstGeom prst="rect">
                      <a:avLst/>
                    </a:prstGeom>
                    <a:noFill/>
                    <a:ln w="9525">
                      <a:noFill/>
                      <a:headEnd/>
                      <a:tailEnd/>
                    </a:ln>
                  </pic:spPr>
                </pic:pic>
              </a:graphicData>
            </a:graphic>
          </wp:inline>
        </w:drawing>
      </w:r>
    </w:p>
    <w:p>
      <w:pPr>
        <w:pStyle w:val="BodyText"/>
      </w:pPr>
      <w:r>
        <w:t xml:space="preserve">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more validity towards measuring the concepts of interest on this study.</w:t>
      </w:r>
    </w:p>
    <w:p>
      <w:pPr>
        <w:pStyle w:val="SourceCode"/>
      </w:pPr>
      <w:r>
        <w:rPr>
          <w:rStyle w:val="VerbatimChar"/>
        </w:rPr>
        <w:t xml:space="preserve">## [1] "checking for install of rmarkdown"</w:t>
      </w:r>
      <w:r>
        <w:br/>
      </w:r>
      <w:r>
        <w:rPr>
          <w:rStyle w:val="VerbatimChar"/>
        </w:rPr>
        <w:t xml:space="preserve">## [1] "checking for install of bookdown"</w:t>
      </w:r>
      <w:r>
        <w:br/>
      </w:r>
      <w:r>
        <w:rPr>
          <w:rStyle w:val="VerbatimChar"/>
        </w:rPr>
        <w:t xml:space="preserve">## [1] "checking for install of knitr"</w:t>
      </w:r>
      <w:r>
        <w:br/>
      </w:r>
      <w:r>
        <w:rPr>
          <w:rStyle w:val="VerbatimChar"/>
        </w:rPr>
        <w:t xml:space="preserve">## [1] "checking for install of kableExtra"</w:t>
      </w:r>
      <w:r>
        <w:br/>
      </w:r>
      <w:r>
        <w:rPr>
          <w:rStyle w:val="VerbatimChar"/>
        </w:rPr>
        <w:t xml:space="preserve">## [1] "checking for install of tidyverse"</w:t>
      </w:r>
      <w:r>
        <w:br/>
      </w:r>
      <w:r>
        <w:rPr>
          <w:rStyle w:val="VerbatimChar"/>
        </w:rPr>
        <w:t xml:space="preserve">## [1] "checking for install of here"</w:t>
      </w:r>
      <w:r>
        <w:br/>
      </w:r>
      <w:r>
        <w:rPr>
          <w:rStyle w:val="VerbatimChar"/>
        </w:rPr>
        <w:t xml:space="preserve">## [1] "checking for install of readxl"</w:t>
      </w:r>
      <w:r>
        <w:br/>
      </w:r>
      <w:r>
        <w:rPr>
          <w:rStyle w:val="VerbatimChar"/>
        </w:rPr>
        <w:t xml:space="preserve">## [1] "checking for install of ggplot2"</w:t>
      </w:r>
      <w:r>
        <w:br/>
      </w:r>
      <w:r>
        <w:rPr>
          <w:rStyle w:val="VerbatimChar"/>
        </w:rPr>
        <w:t xml:space="preserve">## [1] "checking for install of lubridate"</w:t>
      </w:r>
      <w:r>
        <w:br/>
      </w:r>
      <w:r>
        <w:rPr>
          <w:rStyle w:val="VerbatimChar"/>
        </w:rPr>
        <w:t xml:space="preserve">## [1] "checking for install of plotly"</w:t>
      </w:r>
      <w:r>
        <w:br/>
      </w:r>
      <w:r>
        <w:rPr>
          <w:rStyle w:val="VerbatimChar"/>
        </w:rPr>
        <w:t xml:space="preserve">## [1] "checking for install of dplyr"</w:t>
      </w:r>
      <w:r>
        <w:br/>
      </w:r>
      <w:r>
        <w:rPr>
          <w:rStyle w:val="VerbatimChar"/>
        </w:rPr>
        <w:t xml:space="preserve">## [1] "checking for install of wesanderson"</w:t>
      </w:r>
      <w:r>
        <w:br/>
      </w:r>
      <w:r>
        <w:rPr>
          <w:rStyle w:val="VerbatimChar"/>
        </w:rPr>
        <w:t xml:space="preserve">## [1] "checking for install of viridis"</w:t>
      </w:r>
      <w:r>
        <w:br/>
      </w:r>
      <w:r>
        <w:rPr>
          <w:rStyle w:val="VerbatimChar"/>
        </w:rPr>
        <w:t xml:space="preserve">## [1] "checking for install of leaflet"</w:t>
      </w:r>
    </w:p>
    <w:bookmarkEnd w:id="41"/>
    <w:bookmarkStart w:id="42" w:name="system-usability-scale-sus-scores"/>
    <w:p>
      <w:pPr>
        <w:pStyle w:val="Heading2"/>
      </w:pPr>
      <w:r>
        <w:rPr>
          <w:rStyle w:val="SectionNumber"/>
        </w:rPr>
        <w:t xml:space="preserve">2.1</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for all data was XXX. This is within, and above the median of, 68 – which is in the range of</w:t>
      </w:r>
      <w:r>
        <w:t xml:space="preserve"> </w:t>
      </w:r>
      <w:r>
        <w:t xml:space="preserve">‘</w:t>
      </w:r>
      <w:r>
        <w:t xml:space="preserve">average</w:t>
      </w:r>
      <w:r>
        <w:t xml:space="preserve">’</w:t>
      </w:r>
      <w:r>
        <w:t xml:space="preserve"> </w:t>
      </w:r>
      <w:r>
        <w:t xml:space="preserve">usability. This is good as the resources were early demonstrations and had reduced beta alpha testing due to time constraints- future updates can improve this metric.</w:t>
      </w:r>
    </w:p>
    <w:p>
      <w:pPr>
        <w:pStyle w:val="BodyText"/>
      </w:pPr>
      <w:r>
        <w:t xml:space="preserve">After reversing the scores of the negatively worded questions (odd numbered questions), participants strongly agreed the system was not complex (XX% agreements), and they did not need assistance before use (XX% agreements). All remaining questions has the most frequently observed response as</w:t>
      </w:r>
      <w:r>
        <w:t xml:space="preserve"> </w:t>
      </w:r>
      <w:r>
        <w:t xml:space="preserve">‘</w:t>
      </w:r>
      <w:r>
        <w:t xml:space="preserve">agree</w:t>
      </w:r>
      <w:r>
        <w:t xml:space="preserve">’</w:t>
      </w:r>
      <w:r>
        <w:t xml:space="preserve">- the lowest amount of agreement (agree and strongly agree) was XX% for question X, which was explored further in the individual Partners’ analyses.</w:t>
      </w:r>
    </w:p>
    <w:p>
      <w:pPr>
        <w:pStyle w:val="BodyText"/>
      </w:pPr>
      <w:r>
        <w:t xml:space="preserve">if you don’t like boring tables, here is the same data in a graph!</w:t>
      </w:r>
    </w:p>
    <w:bookmarkEnd w:id="42"/>
    <w:bookmarkStart w:id="44" w:name="technology-acceptance-model"/>
    <w:p>
      <w:pPr>
        <w:pStyle w:val="Heading2"/>
      </w:pPr>
      <w:r>
        <w:rPr>
          <w:rStyle w:val="SectionNumber"/>
        </w:rPr>
        <w:t xml:space="preserve">2.2</w:t>
      </w:r>
      <w:r>
        <w:tab/>
      </w:r>
      <w:r>
        <w:t xml:space="preserve">Technology Acceptance Model</w:t>
      </w:r>
    </w:p>
    <w:p>
      <w:pPr>
        <w:pStyle w:val="FirstParagraph"/>
      </w:pPr>
      <w:r>
        <w:t xml:space="preserve">The TAM had 3 sections (Ease of Use, Perceived Usefulness, and Intention of Use). Ease of Use results showed significant increases in Users’ usage with each Chatbot. Perceived Usefulness: There were not significant findings for the Perceived usefulness. The justification for this may be due to being early versions of applications with limited functionality and functions which can be difficult for user to experience the intended further range of features and learning exercises.</w:t>
      </w:r>
    </w:p>
    <w:p>
      <w:pPr>
        <w:pStyle w:val="BodyText"/>
      </w:pPr>
      <w:r>
        <w:t xml:space="preserve">Intention of Use: For users’ intentions to use within their course, the result of the Mann-Whitney U test was not significant, U = , z = , p = . in their intentions before use (m=xx, mode=xx) compared to after (m=xx, mode=x), however there was improvement therefore the chatbots may have more benefit than expected by students.</w:t>
      </w:r>
    </w:p>
    <w:bookmarkStart w:id="43" w:name="other-findings"/>
    <w:p>
      <w:pPr>
        <w:pStyle w:val="Heading3"/>
      </w:pPr>
      <w:r>
        <w:rPr>
          <w:rStyle w:val="SectionNumber"/>
        </w:rPr>
        <w:t xml:space="preserve">2.2.1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UP TO HERE1</w:t>
      </w:r>
    </w:p>
    <w:bookmarkEnd w:id="43"/>
    <w:bookmarkEnd w:id="44"/>
    <w:bookmarkEnd w:id="45"/>
    <w:bookmarkStart w:id="47" w:name="cites-and-refs"/>
    <w:p>
      <w:pPr>
        <w:pStyle w:val="Heading1"/>
      </w:pPr>
      <w:r>
        <w:rPr>
          <w:rStyle w:val="SectionNumber"/>
        </w:rPr>
        <w:t xml:space="preserve">3</w:t>
      </w:r>
      <w:r>
        <w:tab/>
      </w:r>
      <w:r>
        <w:t xml:space="preserve">Training Event Results</w:t>
      </w:r>
    </w:p>
    <w:p>
      <w:pPr>
        <w:pStyle w:val="FirstParagraph"/>
      </w:pPr>
    </w:p>
    <w:bookmarkStart w:id="46"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46"/>
    <w:bookmarkEnd w:id="47"/>
    <w:bookmarkStart w:id="76"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57"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48"/>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50">
        <w:r>
          <w:rPr>
            <w:rStyle w:val="Hyperlink"/>
          </w:rPr>
          <w:t xml:space="preserve">Zotero</w:t>
        </w:r>
      </w:hyperlink>
      <w:r>
        <w:t xml:space="preserve"> </w:t>
      </w:r>
      <w:r>
        <w:t xml:space="preserve">with the</w:t>
      </w:r>
      <w:r>
        <w:t xml:space="preserve"> </w:t>
      </w:r>
      <w:hyperlink r:id="rId51">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54"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52">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3"/>
        </w:numPr>
        <w:pStyle w:val="Compact"/>
      </w:pPr>
      <w:r>
        <w:t xml:space="preserve">Put author names outside the parenthesis</w:t>
      </w:r>
    </w:p>
    <w:p>
      <w:pPr>
        <w:numPr>
          <w:ilvl w:val="1"/>
          <w:numId w:val="1004"/>
        </w:numPr>
        <w:pStyle w:val="Compact"/>
      </w:pPr>
      <w:r>
        <w:t xml:space="preserve">This:</w:t>
      </w:r>
      <w:r>
        <w:t xml:space="preserve"> </w:t>
      </w:r>
      <w:r>
        <w:rPr>
          <w:rStyle w:val="VerbatimChar"/>
        </w:rPr>
        <w:t xml:space="preserve">@Shea2014 says blah.</w:t>
      </w:r>
    </w:p>
    <w:p>
      <w:pPr>
        <w:numPr>
          <w:ilvl w:val="1"/>
          <w:numId w:val="1004"/>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3"/>
        </w:numPr>
        <w:pStyle w:val="Compact"/>
      </w:pPr>
      <w:r>
        <w:t xml:space="preserve">Include only the citation-year (in parenthesis)</w:t>
      </w:r>
    </w:p>
    <w:p>
      <w:pPr>
        <w:numPr>
          <w:ilvl w:val="1"/>
          <w:numId w:val="1005"/>
        </w:numPr>
        <w:pStyle w:val="Compact"/>
      </w:pPr>
      <w:r>
        <w:t xml:space="preserve">This:</w:t>
      </w:r>
      <w:r>
        <w:t xml:space="preserve"> </w:t>
      </w:r>
      <w:r>
        <w:rPr>
          <w:rStyle w:val="VerbatimChar"/>
        </w:rPr>
        <w:t xml:space="preserve">Shea et al. says blah [-@Shea2014]</w:t>
      </w:r>
    </w:p>
    <w:p>
      <w:pPr>
        <w:numPr>
          <w:ilvl w:val="1"/>
          <w:numId w:val="1005"/>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3"/>
        </w:numPr>
        <w:pStyle w:val="Compact"/>
      </w:pPr>
      <w:r>
        <w:t xml:space="preserve">Add text and page or chapter references to the citation</w:t>
      </w:r>
    </w:p>
    <w:p>
      <w:pPr>
        <w:numPr>
          <w:ilvl w:val="1"/>
          <w:numId w:val="1006"/>
        </w:numPr>
        <w:pStyle w:val="Compact"/>
      </w:pPr>
      <w:r>
        <w:t xml:space="preserve">This:</w:t>
      </w:r>
      <w:r>
        <w:t xml:space="preserve"> </w:t>
      </w:r>
      <w:r>
        <w:rPr>
          <w:rStyle w:val="VerbatimChar"/>
        </w:rPr>
        <w:t xml:space="preserve">[see @Shea2014, pp. 33-35; also @Wu2016, ch. 1]</w:t>
      </w:r>
    </w:p>
    <w:p>
      <w:pPr>
        <w:numPr>
          <w:ilvl w:val="1"/>
          <w:numId w:val="1006"/>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53">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54"/>
    <w:bookmarkStart w:id="56"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55">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56"/>
    <w:bookmarkEnd w:id="57"/>
    <w:bookmarkStart w:id="67"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59"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7"/>
        </w:numPr>
        <w:pStyle w:val="Compact"/>
      </w:pPr>
      <w:r>
        <w:t xml:space="preserve">So if we write</w:t>
      </w:r>
      <w:r>
        <w:t xml:space="preserve"> </w:t>
      </w:r>
      <w:r>
        <w:rPr>
          <w:rStyle w:val="VerbatimChar"/>
        </w:rPr>
        <w:t xml:space="preserve">Remember what we wrote up in [the previous section](#citations)?</w:t>
      </w:r>
    </w:p>
    <w:p>
      <w:pPr>
        <w:numPr>
          <w:ilvl w:val="0"/>
          <w:numId w:val="1007"/>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58"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58"/>
    <w:bookmarkEnd w:id="59"/>
    <w:bookmarkStart w:id="63" w:name="figure-image-and-plot-references"/>
    <w:p>
      <w:pPr>
        <w:pStyle w:val="Heading3"/>
      </w:pPr>
      <w:r>
        <w:rPr>
          <w:rStyle w:val="SectionNumber"/>
        </w:rPr>
        <w:t xml:space="preserve">4.2.2</w:t>
      </w:r>
      <w:r>
        <w:tab/>
      </w:r>
      <w:r>
        <w:t xml:space="preserve">Figure (image and plot) references</w:t>
      </w:r>
    </w:p>
    <w:p>
      <w:pPr>
        <w:numPr>
          <w:ilvl w:val="0"/>
          <w:numId w:val="1008"/>
        </w:numPr>
        <w:pStyle w:val="Compact"/>
      </w:pPr>
      <w:r>
        <w:t xml:space="preserve">To refer to figures (i.e. images and plots) use the syntax</w:t>
      </w:r>
      <w:r>
        <w:t xml:space="preserve"> </w:t>
      </w:r>
      <w:r>
        <w:rPr>
          <w:rStyle w:val="VerbatimChar"/>
        </w:rPr>
        <w:t xml:space="preserve">\@ref(fig:label)</w:t>
      </w:r>
    </w:p>
    <w:p>
      <w:pPr>
        <w:numPr>
          <w:ilvl w:val="0"/>
          <w:numId w:val="1008"/>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4.1: A marvel-lous meme" title="" id="61" name="Picture"/>
            <a:graphic>
              <a:graphicData uri="http://schemas.openxmlformats.org/drawingml/2006/picture">
                <pic:pic>
                  <pic:nvPicPr>
                    <pic:cNvPr descr="figures/sample-content/captain.jpeg" id="62" name="Picture"/>
                    <pic:cNvPicPr>
                      <a:picLocks noChangeArrowheads="1" noChangeAspect="1"/>
                    </pic:cNvPicPr>
                  </pic:nvPicPr>
                  <pic:blipFill>
                    <a:blip r:embed="rId60"/>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4.1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63"/>
    <w:bookmarkStart w:id="64" w:name="table-references"/>
    <w:p>
      <w:pPr>
        <w:pStyle w:val="Heading3"/>
      </w:pPr>
      <w:r>
        <w:rPr>
          <w:rStyle w:val="SectionNumber"/>
        </w:rPr>
        <w:t xml:space="preserve">4.2.3</w:t>
      </w:r>
      <w:r>
        <w:tab/>
      </w:r>
      <w:r>
        <w:t xml:space="preserve">Table references</w:t>
      </w:r>
    </w:p>
    <w:p>
      <w:pPr>
        <w:numPr>
          <w:ilvl w:val="0"/>
          <w:numId w:val="1009"/>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64"/>
    <w:bookmarkStart w:id="66"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0"/>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0"/>
        </w:numPr>
        <w:pStyle w:val="Compact"/>
      </w:pPr>
      <w:r>
        <w:t xml:space="preserve">Becomes: Figure</w:t>
      </w:r>
      <w:r>
        <w:t xml:space="preserve"> </w:t>
      </w:r>
      <w:r>
        <w:t xml:space="preserve">??</w:t>
      </w:r>
      <w:r>
        <w:t xml:space="preserve"> </w:t>
      </w:r>
      <w:r>
        <w:t xml:space="preserve">on page</w:t>
      </w:r>
      <w:r>
        <w:t xml:space="preserve"> </w:t>
      </w:r>
    </w:p>
    <w:bookmarkStart w:id="65"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1"/>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1"/>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65"/>
    <w:bookmarkEnd w:id="66"/>
    <w:bookmarkEnd w:id="67"/>
    <w:bookmarkStart w:id="72"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68">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69">
        <w:r>
          <w:rPr>
            <w:rStyle w:val="Hyperlink"/>
          </w:rPr>
          <w:t xml:space="preserve">issue #1463</w:t>
        </w:r>
      </w:hyperlink>
      <w:r>
        <w:t xml:space="preserve"> </w:t>
      </w:r>
      <w:r>
        <w:t xml:space="preserve">on GitHub, where</w:t>
      </w:r>
      <w:r>
        <w:t xml:space="preserve"> </w:t>
      </w:r>
      <w:hyperlink r:id="rId70">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71">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2"/>
    <w:bookmarkStart w:id="75" w:name="additional-resources"/>
    <w:p>
      <w:pPr>
        <w:pStyle w:val="Heading2"/>
      </w:pPr>
      <w:r>
        <w:rPr>
          <w:rStyle w:val="SectionNumber"/>
        </w:rPr>
        <w:t xml:space="preserve">4.4</w:t>
      </w:r>
      <w:r>
        <w:tab/>
      </w:r>
      <w:r>
        <w:t xml:space="preserve">Additional resources</w:t>
      </w:r>
    </w:p>
    <w:p>
      <w:pPr>
        <w:numPr>
          <w:ilvl w:val="0"/>
          <w:numId w:val="1012"/>
        </w:numPr>
      </w:pPr>
      <w:r>
        <w:rPr>
          <w:iCs/>
          <w:i/>
        </w:rPr>
        <w:t xml:space="preserve">R Markdown: The Definitive Guide</w:t>
      </w:r>
      <w:r>
        <w:t xml:space="preserve"> </w:t>
      </w:r>
      <w:r>
        <w:t xml:space="preserve">-</w:t>
      </w:r>
      <w:r>
        <w:t xml:space="preserve"> </w:t>
      </w:r>
      <w:hyperlink r:id="rId73">
        <w:r>
          <w:rPr>
            <w:rStyle w:val="Hyperlink"/>
          </w:rPr>
          <w:t xml:space="preserve">https://bookdown.org/yihui/rmarkdown/</w:t>
        </w:r>
      </w:hyperlink>
    </w:p>
    <w:p>
      <w:pPr>
        <w:numPr>
          <w:ilvl w:val="0"/>
          <w:numId w:val="1012"/>
        </w:numPr>
      </w:pPr>
      <w:r>
        <w:rPr>
          <w:iCs/>
          <w:i/>
        </w:rPr>
        <w:t xml:space="preserve">R for Data Science</w:t>
      </w:r>
      <w:r>
        <w:t xml:space="preserve"> </w:t>
      </w:r>
      <w:r>
        <w:t xml:space="preserve">-</w:t>
      </w:r>
      <w:r>
        <w:t xml:space="preserve"> </w:t>
      </w:r>
      <w:hyperlink r:id="rId74">
        <w:r>
          <w:rPr>
            <w:rStyle w:val="Hyperlink"/>
          </w:rPr>
          <w:t xml:space="preserve">https://r4ds.had.co.nz</w:t>
        </w:r>
      </w:hyperlink>
    </w:p>
    <w:bookmarkEnd w:id="75"/>
    <w:bookmarkEnd w:id="76"/>
    <w:bookmarkStart w:id="86"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85"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77"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77"/>
    <w:bookmarkStart w:id="79"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78">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79"/>
    <w:bookmarkStart w:id="80"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80"/>
    <w:bookmarkStart w:id="84"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2" name="Picture"/>
            <a:graphic>
              <a:graphicData uri="http://schemas.openxmlformats.org/drawingml/2006/picture">
                <pic:pic>
                  <pic:nvPicPr>
                    <pic:cNvPr descr="figures/sample-content/latex_font_sizes.png" id="83" name="Picture"/>
                    <pic:cNvPicPr>
                      <a:picLocks noChangeArrowheads="1" noChangeAspect="1"/>
                    </pic:cNvPicPr>
                  </pic:nvPicPr>
                  <pic:blipFill>
                    <a:blip r:embed="rId81"/>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3"/>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3"/>
        </w:numPr>
        <w:pStyle w:val="Compact"/>
      </w:pPr>
      <w:r>
        <w:t xml:space="preserve">Add the attributes that make R Markdown understand that the table is a table (it seems R drops these when we do the string replacement)</w:t>
      </w:r>
    </w:p>
    <w:bookmarkEnd w:id="84"/>
    <w:bookmarkEnd w:id="85"/>
    <w:bookmarkEnd w:id="86"/>
    <w:bookmarkStart w:id="126" w:name="X51bc91f4e64bb84a1de0d4ebcf29499e1120650"/>
    <w:p>
      <w:pPr>
        <w:pStyle w:val="Heading1"/>
      </w:pPr>
      <w:r>
        <w:rPr>
          <w:rStyle w:val="SectionNumber"/>
        </w:rPr>
        <w:t xml:space="preserve">6</w:t>
      </w:r>
      <w:r>
        <w:tab/>
      </w:r>
      <w:r>
        <w:t xml:space="preserve">Text Mining, Natural Language Processing, and Sentiment Analysis</w:t>
      </w:r>
    </w:p>
    <w:bookmarkStart w:id="89" w:name="reading-in-texts"/>
    <w:p>
      <w:pPr>
        <w:pStyle w:val="Heading2"/>
      </w:pPr>
      <w:r>
        <w:rPr>
          <w:rStyle w:val="SectionNumber"/>
        </w:rPr>
        <w:t xml:space="preserve">6.1</w:t>
      </w:r>
      <w:r>
        <w:tab/>
      </w:r>
      <w:r>
        <w:t xml:space="preserve">1 Reading in texts</w:t>
      </w:r>
    </w:p>
    <w:bookmarkStart w:id="87" w:name="txt-files"/>
    <w:p>
      <w:pPr>
        <w:pStyle w:val="Heading3"/>
      </w:pPr>
      <w:r>
        <w:rPr>
          <w:rStyle w:val="SectionNumber"/>
        </w:rPr>
        <w:t xml:space="preserve">6.1.1</w:t>
      </w:r>
      <w:r>
        <w:tab/>
      </w:r>
      <w:r>
        <w:t xml:space="preserve">1.1 txt files</w:t>
      </w:r>
    </w:p>
    <w:p>
      <w:pPr>
        <w:pStyle w:val="FirstParagraph"/>
      </w:pPr>
      <w:r>
        <w:t xml:space="preserve">Here’s how you can read in one .txt file that is saved in the same location as this script (i.e. in the same folder on your computer):</w:t>
      </w:r>
    </w:p>
    <w:p>
      <w:pPr>
        <w:pStyle w:val="BodyText"/>
      </w:pPr>
      <w:r>
        <w:t xml:space="preserve">If you want to read all files from a sub-folder, type the name of the folder followed by / and * to ask R to read in all files in that folder:</w:t>
      </w:r>
    </w:p>
    <w:bookmarkEnd w:id="87"/>
    <w:bookmarkStart w:id="88" w:name="preparing-data"/>
    <w:p>
      <w:pPr>
        <w:pStyle w:val="Heading3"/>
      </w:pPr>
      <w:r>
        <w:rPr>
          <w:rStyle w:val="SectionNumber"/>
        </w:rPr>
        <w:t xml:space="preserve">6.1.2</w:t>
      </w:r>
      <w:r>
        <w:tab/>
      </w:r>
      <w:r>
        <w:t xml:space="preserve">1.3 Preparing data</w:t>
      </w:r>
    </w:p>
    <w:p>
      <w:pPr>
        <w:numPr>
          <w:ilvl w:val="0"/>
          <w:numId w:val="1014"/>
        </w:numPr>
        <w:pStyle w:val="Compact"/>
      </w:pPr>
      <w:r>
        <w:t xml:space="preserve">convert name to ID numbers with more descriptive labels</w:t>
      </w:r>
    </w:p>
    <w:bookmarkEnd w:id="88"/>
    <w:bookmarkEnd w:id="89"/>
    <w:bookmarkStart w:id="93" w:name="tidy-text"/>
    <w:p>
      <w:pPr>
        <w:pStyle w:val="Heading2"/>
      </w:pPr>
      <w:r>
        <w:rPr>
          <w:rStyle w:val="SectionNumber"/>
        </w:rPr>
        <w:t xml:space="preserve">6.2</w:t>
      </w:r>
      <w:r>
        <w:tab/>
      </w:r>
      <w:r>
        <w:t xml:space="preserve">2 Tidy text</w:t>
      </w:r>
    </w:p>
    <w:p>
      <w:pPr>
        <w:numPr>
          <w:ilvl w:val="0"/>
          <w:numId w:val="1015"/>
        </w:numPr>
        <w:pStyle w:val="Compact"/>
      </w:pPr>
      <w:r>
        <w:t xml:space="preserve">One word per row, facilitates analysis</w:t>
      </w:r>
    </w:p>
    <w:p>
      <w:pPr>
        <w:numPr>
          <w:ilvl w:val="0"/>
          <w:numId w:val="1015"/>
        </w:numPr>
        <w:pStyle w:val="Compact"/>
      </w:pPr>
      <w:r>
        <w:t xml:space="preserve">Token:</w:t>
      </w:r>
      <w:r>
        <w:t xml:space="preserve"> </w:t>
      </w:r>
      <w:r>
        <w:t xml:space="preserve">“</w:t>
      </w:r>
      <w:r>
        <w:t xml:space="preserve">a meaningful unit of text, most often a word, that we are interested in using for further analysis</w:t>
      </w:r>
      <w:r>
        <w:t xml:space="preserve">”</w:t>
      </w:r>
    </w:p>
    <w:bookmarkStart w:id="90" w:name="the-unnest_tokens-function"/>
    <w:p>
      <w:pPr>
        <w:pStyle w:val="Heading3"/>
      </w:pPr>
      <w:r>
        <w:rPr>
          <w:rStyle w:val="SectionNumber"/>
        </w:rPr>
        <w:t xml:space="preserve">6.2.1</w:t>
      </w:r>
      <w:r>
        <w:tab/>
      </w:r>
      <w:r>
        <w:t xml:space="preserve">2.1 the unnest_tokens function</w:t>
      </w:r>
    </w:p>
    <w:p>
      <w:pPr>
        <w:numPr>
          <w:ilvl w:val="0"/>
          <w:numId w:val="1016"/>
        </w:numPr>
        <w:pStyle w:val="Compact"/>
      </w:pPr>
      <w:r>
        <w:t xml:space="preserve">Easy to convert from full text to token per row with unnest_tokens()</w:t>
      </w:r>
      <w:r>
        <w:t xml:space="preserve"> </w:t>
      </w:r>
      <w:r>
        <w:t xml:space="preserve">Syntax: unnest_tokens(df, newcol, oldcol)</w:t>
      </w:r>
    </w:p>
    <w:p>
      <w:pPr>
        <w:numPr>
          <w:ilvl w:val="0"/>
          <w:numId w:val="1016"/>
        </w:numPr>
        <w:pStyle w:val="Compact"/>
      </w:pPr>
      <w:r>
        <w:t xml:space="preserve">unnest_tokens() automatically removes punctuation and converts to lowercase (unless you set to_lower = FALSE)</w:t>
      </w:r>
    </w:p>
    <w:p>
      <w:pPr>
        <w:numPr>
          <w:ilvl w:val="0"/>
          <w:numId w:val="1016"/>
        </w:numPr>
        <w:pStyle w:val="Compact"/>
      </w:pPr>
      <w:r>
        <w:t xml:space="preserve">by default, tokens are set to words, but you can also use token =</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 and even</w:t>
      </w:r>
      <w:r>
        <w:t xml:space="preserve"> </w:t>
      </w:r>
      <w:r>
        <w:t xml:space="preserve">“</w:t>
      </w:r>
      <w:r>
        <w:t xml:space="preserve">tweets</w:t>
      </w:r>
      <w:r>
        <w:t xml:space="preserve">”</w:t>
      </w:r>
      <w:r>
        <w:t xml:space="preserve"> </w:t>
      </w:r>
      <w:r>
        <w:t xml:space="preserve">(which will retain usernames, hashtags, and URLs)</w:t>
      </w:r>
    </w:p>
    <w:p>
      <w:pPr>
        <w:pStyle w:val="SourceCode"/>
      </w:pPr>
      <w:r>
        <w:rPr>
          <w:rStyle w:val="VerbatimChar"/>
        </w:rPr>
        <w:t xml:space="preserve">## readtext object consisting of 2858 documents and 0 docvars.</w:t>
      </w:r>
      <w:r>
        <w:br/>
      </w:r>
      <w:r>
        <w:rPr>
          <w:rStyle w:val="VerbatimChar"/>
        </w:rPr>
        <w:t xml:space="preserve">## # Description: df [2,858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r>
        <w:br/>
      </w:r>
      <w:r>
        <w:rPr>
          <w:rStyle w:val="VerbatimChar"/>
        </w:rPr>
        <w:t xml:space="preserve">## # … with 2,852 more rows</w:t>
      </w:r>
    </w:p>
    <w:bookmarkEnd w:id="90"/>
    <w:bookmarkStart w:id="91" w:name="removing-non-alphanumeric-characters"/>
    <w:p>
      <w:pPr>
        <w:pStyle w:val="Heading3"/>
      </w:pPr>
      <w:r>
        <w:rPr>
          <w:rStyle w:val="SectionNumber"/>
        </w:rPr>
        <w:t xml:space="preserve">6.2.2</w:t>
      </w:r>
      <w:r>
        <w:tab/>
      </w:r>
      <w:r>
        <w:t xml:space="preserve">2.2 Removing non-alphanumeric characters</w:t>
      </w:r>
    </w:p>
    <w:p>
      <w:pPr>
        <w:numPr>
          <w:ilvl w:val="0"/>
          <w:numId w:val="1017"/>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91"/>
    <w:bookmarkStart w:id="92" w:name="stop-words"/>
    <w:p>
      <w:pPr>
        <w:pStyle w:val="Heading3"/>
      </w:pPr>
      <w:r>
        <w:rPr>
          <w:rStyle w:val="SectionNumber"/>
        </w:rPr>
        <w:t xml:space="preserve">6.2.3</w:t>
      </w:r>
      <w:r>
        <w:tab/>
      </w:r>
      <w:r>
        <w:t xml:space="preserve">2.3 Stop words</w:t>
      </w:r>
    </w:p>
    <w:p>
      <w:pPr>
        <w:numPr>
          <w:ilvl w:val="0"/>
          <w:numId w:val="1018"/>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8"/>
        </w:numPr>
        <w:pStyle w:val="Compact"/>
      </w:pPr>
      <w:r>
        <w:t xml:space="preserve">tidytext has a built-in df called stop_words for English</w:t>
      </w:r>
    </w:p>
    <w:p>
      <w:pPr>
        <w:numPr>
          <w:ilvl w:val="0"/>
          <w:numId w:val="1018"/>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821 documents and 0 docvars.</w:t>
      </w:r>
      <w:r>
        <w:br/>
      </w:r>
      <w:r>
        <w:rPr>
          <w:rStyle w:val="VerbatimChar"/>
        </w:rPr>
        <w:t xml:space="preserve">## # Description: df [821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815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92"/>
    <w:bookmarkEnd w:id="93"/>
    <w:bookmarkStart w:id="120" w:name="analysing-frequencies"/>
    <w:p>
      <w:pPr>
        <w:pStyle w:val="Heading2"/>
      </w:pPr>
      <w:r>
        <w:rPr>
          <w:rStyle w:val="SectionNumber"/>
        </w:rPr>
        <w:t xml:space="preserve">6.3</w:t>
      </w:r>
      <w:r>
        <w:tab/>
      </w:r>
      <w:r>
        <w:t xml:space="preserve">3 Analysing frequencies</w:t>
      </w:r>
    </w:p>
    <w:bookmarkStart w:id="110" w:name="find-most-frequent-words"/>
    <w:p>
      <w:pPr>
        <w:pStyle w:val="Heading3"/>
      </w:pPr>
      <w:r>
        <w:rPr>
          <w:rStyle w:val="SectionNumber"/>
        </w:rPr>
        <w:t xml:space="preserve">6.3.1</w:t>
      </w:r>
      <w:r>
        <w:tab/>
      </w:r>
      <w:r>
        <w:t xml:space="preserve">3.1 Find most frequent words</w:t>
      </w:r>
    </w:p>
    <w:p>
      <w:pPr>
        <w:numPr>
          <w:ilvl w:val="0"/>
          <w:numId w:val="1019"/>
        </w:numPr>
        <w:pStyle w:val="Compact"/>
      </w:pPr>
      <w:r>
        <w:t xml:space="preserve">Easily find frequent words using count()</w:t>
      </w:r>
    </w:p>
    <w:p>
      <w:pPr>
        <w:numPr>
          <w:ilvl w:val="0"/>
          <w:numId w:val="1019"/>
        </w:numPr>
        <w:pStyle w:val="Compact"/>
      </w:pPr>
      <w:r>
        <w:t xml:space="preserve">Data must be in tidy format (one token per line)</w:t>
      </w:r>
    </w:p>
    <w:p>
      <w:pPr>
        <w:numPr>
          <w:ilvl w:val="0"/>
          <w:numId w:val="1019"/>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vr               15</w:t>
      </w:r>
      <w:r>
        <w:br/>
      </w:r>
      <w:r>
        <w:rPr>
          <w:rStyle w:val="VerbatimChar"/>
        </w:rPr>
        <w:t xml:space="preserve">##  2 1      cybersecurity    11</w:t>
      </w:r>
      <w:r>
        <w:br/>
      </w:r>
      <w:r>
        <w:rPr>
          <w:rStyle w:val="VerbatimChar"/>
        </w:rPr>
        <w:t xml:space="preserve">##  3 1      information      11</w:t>
      </w:r>
      <w:r>
        <w:br/>
      </w:r>
      <w:r>
        <w:rPr>
          <w:rStyle w:val="VerbatimChar"/>
        </w:rPr>
        <w:t xml:space="preserve">##  4 1      presentation      9</w:t>
      </w:r>
      <w:r>
        <w:br/>
      </w:r>
      <w:r>
        <w:rPr>
          <w:rStyle w:val="VerbatimChar"/>
        </w:rPr>
        <w:t xml:space="preserve">##  5 1      helpful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p>
      <w:pPr>
        <w:pStyle w:val="SourceCode"/>
      </w:pPr>
      <w:r>
        <w:rPr>
          <w:rStyle w:val="VerbatimChar"/>
        </w:rPr>
        <w:t xml:space="preserve">## # A tibble: 388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vr               15</w:t>
      </w:r>
      <w:r>
        <w:br/>
      </w:r>
      <w:r>
        <w:rPr>
          <w:rStyle w:val="VerbatimChar"/>
        </w:rPr>
        <w:t xml:space="preserve">##  2 1      cybersecurity    11</w:t>
      </w:r>
      <w:r>
        <w:br/>
      </w:r>
      <w:r>
        <w:rPr>
          <w:rStyle w:val="VerbatimChar"/>
        </w:rPr>
        <w:t xml:space="preserve">##  3 1      information      11</w:t>
      </w:r>
      <w:r>
        <w:br/>
      </w:r>
      <w:r>
        <w:rPr>
          <w:rStyle w:val="VerbatimChar"/>
        </w:rPr>
        <w:t xml:space="preserve">##  4 1      presentation      9</w:t>
      </w:r>
      <w:r>
        <w:br/>
      </w:r>
      <w:r>
        <w:rPr>
          <w:rStyle w:val="VerbatimChar"/>
        </w:rPr>
        <w:t xml:space="preserve">##  5 1      helpful           8</w:t>
      </w:r>
      <w:r>
        <w:br/>
      </w:r>
      <w:r>
        <w:rPr>
          <w:rStyle w:val="VerbatimChar"/>
        </w:rPr>
        <w:t xml:space="preserve">##  6 1      understand        8</w:t>
      </w:r>
      <w:r>
        <w:br/>
      </w:r>
      <w:r>
        <w:rPr>
          <w:rStyle w:val="VerbatimChar"/>
        </w:rPr>
        <w:t xml:space="preserve">##  7 1      idea              7</w:t>
      </w:r>
      <w:r>
        <w:br/>
      </w:r>
      <w:r>
        <w:rPr>
          <w:rStyle w:val="VerbatimChar"/>
        </w:rPr>
        <w:t xml:space="preserve">##  8 1      ideas             7</w:t>
      </w:r>
      <w:r>
        <w:br/>
      </w:r>
      <w:r>
        <w:rPr>
          <w:rStyle w:val="VerbatimChar"/>
        </w:rPr>
        <w:t xml:space="preserve">##  9 1      lot               7</w:t>
      </w:r>
      <w:r>
        <w:br/>
      </w:r>
      <w:r>
        <w:rPr>
          <w:rStyle w:val="VerbatimChar"/>
        </w:rPr>
        <w:t xml:space="preserve">## 10 1      workshop          7</w:t>
      </w:r>
      <w:r>
        <w:br/>
      </w:r>
      <w:r>
        <w:rPr>
          <w:rStyle w:val="VerbatimChar"/>
        </w:rPr>
        <w:t xml:space="preserve">## # … with 378 more rows</w:t>
      </w:r>
    </w:p>
    <w:bookmarkStart w:id="109"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r>
        <w:t xml:space="preserve"> </w:t>
      </w:r>
      <w:r>
        <w:drawing>
          <wp:inline>
            <wp:extent cx="4620126" cy="3696101"/>
            <wp:effectExtent b="0" l="0" r="0" t="0"/>
            <wp:docPr descr="" title="" id="95" name="Picture"/>
            <a:graphic>
              <a:graphicData uri="http://schemas.openxmlformats.org/drawingml/2006/picture">
                <pic:pic>
                  <pic:nvPicPr>
                    <pic:cNvPr descr="_main_files/figure-docx/unnamed-chunk-16-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Readable labels:</w:t>
      </w:r>
      <w:r>
        <w:t xml:space="preserve"> </w:t>
      </w:r>
      <w:r>
        <w:drawing>
          <wp:inline>
            <wp:extent cx="4620126" cy="3696101"/>
            <wp:effectExtent b="0" l="0" r="0" t="0"/>
            <wp:docPr descr="" title="" id="98" name="Picture"/>
            <a:graphic>
              <a:graphicData uri="http://schemas.openxmlformats.org/drawingml/2006/picture">
                <pic:pic>
                  <pic:nvPicPr>
                    <pic:cNvPr descr="_main_files/figure-docx/unnamed-chunk-17-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Descending order:</w:t>
      </w:r>
      <w:r>
        <w:t xml:space="preserve"> </w:t>
      </w:r>
      <w:r>
        <w:drawing>
          <wp:inline>
            <wp:extent cx="4620126" cy="3696101"/>
            <wp:effectExtent b="0" l="0" r="0" t="0"/>
            <wp:docPr descr="" title="" id="101" name="Picture"/>
            <a:graphic>
              <a:graphicData uri="http://schemas.openxmlformats.org/drawingml/2006/picture">
                <pic:pic>
                  <pic:nvPicPr>
                    <pic:cNvPr descr="_main_files/figure-docx/unnamed-chunk-18-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Axis names and colors:</w:t>
      </w:r>
      <w:r>
        <w:t xml:space="preserve"> </w:t>
      </w:r>
      <w:r>
        <w:drawing>
          <wp:inline>
            <wp:extent cx="4620126" cy="3696101"/>
            <wp:effectExtent b="0" l="0" r="0" t="0"/>
            <wp:docPr descr="" title="" id="104" name="Picture"/>
            <a:graphic>
              <a:graphicData uri="http://schemas.openxmlformats.org/drawingml/2006/picture">
                <pic:pic>
                  <pic:nvPicPr>
                    <pic:cNvPr descr="_main_files/figure-docx/unnamed-chunk-19-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flip coordinate system to make more space for words</w:t>
      </w:r>
      <w:r>
        <w:t xml:space="preserve"> </w:t>
      </w:r>
      <w:r>
        <w:drawing>
          <wp:inline>
            <wp:extent cx="4620126" cy="3696101"/>
            <wp:effectExtent b="0" l="0" r="0" t="0"/>
            <wp:docPr descr="" title="" id="107" name="Picture"/>
            <a:graphic>
              <a:graphicData uri="http://schemas.openxmlformats.org/drawingml/2006/picture">
                <pic:pic>
                  <pic:nvPicPr>
                    <pic:cNvPr descr="_main_files/figure-docx/unnamed-chunk-20-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End w:id="110"/>
    <w:bookmarkStart w:id="115" w:name="normalised-frequency"/>
    <w:p>
      <w:pPr>
        <w:pStyle w:val="Heading3"/>
      </w:pPr>
      <w:r>
        <w:rPr>
          <w:rStyle w:val="SectionNumber"/>
        </w:rPr>
        <w:t xml:space="preserve">6.3.2</w:t>
      </w:r>
      <w:r>
        <w:tab/>
      </w:r>
      <w:r>
        <w:t xml:space="preserve">3.2 Normalised frequency</w:t>
      </w:r>
    </w:p>
    <w:p>
      <w:pPr>
        <w:numPr>
          <w:ilvl w:val="0"/>
          <w:numId w:val="1020"/>
        </w:numPr>
        <w:pStyle w:val="Compact"/>
      </w:pPr>
      <w:r>
        <w:t xml:space="preserve">when comparing the frequencies of words from different texts, they are commonly normalised</w:t>
      </w:r>
    </w:p>
    <w:p>
      <w:pPr>
        <w:numPr>
          <w:ilvl w:val="0"/>
          <w:numId w:val="1020"/>
        </w:numPr>
        <w:pStyle w:val="Compact"/>
      </w:pPr>
      <w:r>
        <w:t xml:space="preserve">convention in corpus linguistics: report the frequency per 1 million words</w:t>
      </w:r>
    </w:p>
    <w:p>
      <w:pPr>
        <w:numPr>
          <w:ilvl w:val="0"/>
          <w:numId w:val="1020"/>
        </w:numPr>
        <w:pStyle w:val="Compact"/>
      </w:pPr>
      <w:r>
        <w:t xml:space="preserve">for shorter texts: per 10,000 or per 100,000 words</w:t>
      </w:r>
    </w:p>
    <w:p>
      <w:pPr>
        <w:numPr>
          <w:ilvl w:val="0"/>
          <w:numId w:val="1020"/>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696</w:t>
      </w:r>
    </w:p>
    <w:p>
      <w:pPr>
        <w:pStyle w:val="SourceCode"/>
      </w:pPr>
      <w:r>
        <w:rPr>
          <w:rStyle w:val="VerbatimChar"/>
        </w:rPr>
        <w:t xml:space="preserve">## # A tibble: 386 × 2</w:t>
      </w:r>
      <w:r>
        <w:br/>
      </w:r>
      <w:r>
        <w:rPr>
          <w:rStyle w:val="VerbatimChar"/>
        </w:rPr>
        <w:t xml:space="preserve">##    word            pmw</w:t>
      </w:r>
      <w:r>
        <w:br/>
      </w:r>
      <w:r>
        <w:rPr>
          <w:rStyle w:val="VerbatimChar"/>
        </w:rPr>
        <w:t xml:space="preserve">##    &lt;chr&gt;         &lt;dbl&gt;</w:t>
      </w:r>
      <w:r>
        <w:br/>
      </w:r>
      <w:r>
        <w:rPr>
          <w:rStyle w:val="VerbatimChar"/>
        </w:rPr>
        <w:t xml:space="preserve">##  1 vr            217. </w:t>
      </w:r>
      <w:r>
        <w:br/>
      </w:r>
      <w:r>
        <w:rPr>
          <w:rStyle w:val="VerbatimChar"/>
        </w:rPr>
        <w:t xml:space="preserve">##  2 cybersecurity 159. </w:t>
      </w:r>
      <w:r>
        <w:br/>
      </w:r>
      <w:r>
        <w:rPr>
          <w:rStyle w:val="VerbatimChar"/>
        </w:rPr>
        <w:t xml:space="preserve">##  3 information   159. </w:t>
      </w:r>
      <w:r>
        <w:br/>
      </w:r>
      <w:r>
        <w:rPr>
          <w:rStyle w:val="VerbatimChar"/>
        </w:rPr>
        <w:t xml:space="preserve">##  4 presentation  130. </w:t>
      </w:r>
      <w:r>
        <w:br/>
      </w:r>
      <w:r>
        <w:rPr>
          <w:rStyle w:val="VerbatimChar"/>
        </w:rPr>
        <w:t xml:space="preserve">##  5 helpful       116. </w:t>
      </w:r>
      <w:r>
        <w:br/>
      </w:r>
      <w:r>
        <w:rPr>
          <w:rStyle w:val="VerbatimChar"/>
        </w:rPr>
        <w:t xml:space="preserve">##  6 idea          101. </w:t>
      </w:r>
      <w:r>
        <w:br/>
      </w:r>
      <w:r>
        <w:rPr>
          <w:rStyle w:val="VerbatimChar"/>
        </w:rPr>
        <w:t xml:space="preserve">##  7 ideas         101. </w:t>
      </w:r>
      <w:r>
        <w:br/>
      </w:r>
      <w:r>
        <w:rPr>
          <w:rStyle w:val="VerbatimChar"/>
        </w:rPr>
        <w:t xml:space="preserve">##  8 lot           101. </w:t>
      </w:r>
      <w:r>
        <w:br/>
      </w:r>
      <w:r>
        <w:rPr>
          <w:rStyle w:val="VerbatimChar"/>
        </w:rPr>
        <w:t xml:space="preserve">##  9 workshop      101. </w:t>
      </w:r>
      <w:r>
        <w:br/>
      </w:r>
      <w:r>
        <w:rPr>
          <w:rStyle w:val="VerbatimChar"/>
        </w:rPr>
        <w:t xml:space="preserve">## 10 beginning      87.0</w:t>
      </w:r>
      <w:r>
        <w:br/>
      </w:r>
      <w:r>
        <w:rPr>
          <w:rStyle w:val="VerbatimChar"/>
        </w:rPr>
        <w:t xml:space="preserve">## # … with 376 more rows</w:t>
      </w:r>
    </w:p>
    <w:bookmarkStart w:id="114"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12" name="Picture"/>
            <a:graphic>
              <a:graphicData uri="http://schemas.openxmlformats.org/drawingml/2006/picture">
                <pic:pic>
                  <pic:nvPicPr>
                    <pic:cNvPr descr="_main_files/figure-docx/unnamed-chunk-22-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End w:id="115"/>
    <w:bookmarkStart w:id="119"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17" name="Picture"/>
            <a:graphic>
              <a:graphicData uri="http://schemas.openxmlformats.org/drawingml/2006/picture">
                <pic:pic>
                  <pic:nvPicPr>
                    <pic:cNvPr descr="_main_files/figure-docx/unnamed-chunk-23-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End w:id="120"/>
    <w:bookmarkStart w:id="125" w:name="comparing-the-vocabulary-of-texts"/>
    <w:p>
      <w:pPr>
        <w:pStyle w:val="Heading2"/>
      </w:pPr>
      <w:r>
        <w:rPr>
          <w:rStyle w:val="SectionNumber"/>
        </w:rPr>
        <w:t xml:space="preserve">6.4</w:t>
      </w:r>
      <w:r>
        <w:tab/>
      </w:r>
      <w:r>
        <w:t xml:space="preserve">4 Comparing the vocabulary of texts</w:t>
      </w:r>
    </w:p>
    <w:p>
      <w:pPr>
        <w:pStyle w:val="FirstParagraph"/>
      </w:pPr>
      <w:r>
        <w:t xml:space="preserve">Next, we’ll create two graphs to compare the vocabulary of our texts. First, we focus on Alice’s Adventures and Anderson’s CEPEHQ. The newly created comp_2 data frame contains only the words and their frequencies in the two texts in two separate columns.</w:t>
      </w:r>
    </w:p>
    <w:bookmarkStart w:id="124" w:name="comparing-two-texts"/>
    <w:p>
      <w:pPr>
        <w:pStyle w:val="Heading3"/>
      </w:pPr>
      <w:r>
        <w:rPr>
          <w:rStyle w:val="SectionNumber"/>
        </w:rPr>
        <w:t xml:space="preserve">6.4.1</w:t>
      </w:r>
      <w:r>
        <w:tab/>
      </w:r>
      <w:r>
        <w:t xml:space="preserve">Comparing two texts</w:t>
      </w:r>
    </w:p>
    <w:p>
      <w:pPr>
        <w:pStyle w:val="SourceCode"/>
      </w:pPr>
      <w:r>
        <w:rPr>
          <w:rStyle w:val="VerbatimChar"/>
        </w:rPr>
        <w:t xml:space="preserve">## # A tibble: 6 × 3</w:t>
      </w:r>
      <w:r>
        <w:br/>
      </w:r>
      <w:r>
        <w:rPr>
          <w:rStyle w:val="VerbatimChar"/>
        </w:rPr>
        <w:t xml:space="preserve">##   word            pmw     `1`</w:t>
      </w:r>
      <w:r>
        <w:br/>
      </w:r>
      <w:r>
        <w:rPr>
          <w:rStyle w:val="VerbatimChar"/>
        </w:rPr>
        <w:t xml:space="preserve">##   &lt;chr&gt;         &lt;dbl&gt;   &lt;dbl&gt;</w:t>
      </w:r>
      <w:r>
        <w:br/>
      </w:r>
      <w:r>
        <w:rPr>
          <w:rStyle w:val="VerbatimChar"/>
        </w:rPr>
        <w:t xml:space="preserve">## 1 access         43.5 0.00435</w:t>
      </w:r>
      <w:r>
        <w:br/>
      </w:r>
      <w:r>
        <w:rPr>
          <w:rStyle w:val="VerbatimChar"/>
        </w:rPr>
        <w:t xml:space="preserve">## 2 acquired       14.5 0.00145</w:t>
      </w:r>
      <w:r>
        <w:br/>
      </w:r>
      <w:r>
        <w:rPr>
          <w:rStyle w:val="VerbatimChar"/>
        </w:rPr>
        <w:t xml:space="preserve">## 3 add            14.5 0.00145</w:t>
      </w:r>
      <w:r>
        <w:br/>
      </w:r>
      <w:r>
        <w:rPr>
          <w:rStyle w:val="VerbatimChar"/>
        </w:rPr>
        <w:t xml:space="preserve">## 4 administrator  14.5 0.00145</w:t>
      </w:r>
      <w:r>
        <w:br/>
      </w:r>
      <w:r>
        <w:rPr>
          <w:rStyle w:val="VerbatimChar"/>
        </w:rPr>
        <w:t xml:space="preserve">## 5 advance        14.5 0.00145</w:t>
      </w:r>
      <w:r>
        <w:br/>
      </w:r>
      <w:r>
        <w:rPr>
          <w:rStyle w:val="VerbatimChar"/>
        </w:rPr>
        <w:t xml:space="preserve">## 6 advanced       14.5 0.00145</w:t>
      </w:r>
    </w:p>
    <w:p>
      <w:pPr>
        <w:pStyle w:val="FirstParagraph"/>
      </w:pPr>
      <w:r>
        <w:t xml:space="preserve">Now, we can plot the words. Their placement depends on the word frequencies. Additionally, colour coding shows how different the frequencies are - darker items are more similar in terms of their frequencies, lighter-coloured ones more frequent in one text compared to the other. We’ll discuss the interpretation in more detail once we’ve created the threeway comparison.</w:t>
      </w:r>
      <w:r>
        <w:t xml:space="preserve"> </w:t>
      </w:r>
      <w:r>
        <w:drawing>
          <wp:inline>
            <wp:extent cx="4620126" cy="3696101"/>
            <wp:effectExtent b="0" l="0" r="0" t="0"/>
            <wp:docPr descr="" title="" id="122" name="Picture"/>
            <a:graphic>
              <a:graphicData uri="http://schemas.openxmlformats.org/drawingml/2006/picture">
                <pic:pic>
                  <pic:nvPicPr>
                    <pic:cNvPr descr="_main_files/figure-docx/unnamed-chunk-25-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bookmarkEnd w:id="124"/>
    <w:bookmarkEnd w:id="125"/>
    <w:bookmarkEnd w:id="126"/>
    <w:bookmarkStart w:id="127" w:name="sentiment-analysis"/>
    <w:p>
      <w:pPr>
        <w:pStyle w:val="Heading1"/>
      </w:pPr>
      <w:r>
        <w:rPr>
          <w:rStyle w:val="SectionNumber"/>
        </w:rPr>
        <w:t xml:space="preserve">7</w:t>
      </w:r>
      <w:r>
        <w:tab/>
      </w:r>
      <w:r>
        <w:t xml:space="preserve">Sentiment analysis</w:t>
      </w:r>
    </w:p>
    <w:p>
      <w:pPr>
        <w:pStyle w:val="FirstParagraph"/>
      </w:pPr>
    </w:p>
    <w:p>
      <w:pPr>
        <w:pStyle w:val="SourceCode"/>
      </w:pPr>
      <w:r>
        <w:rPr>
          <w:rStyle w:val="CommentTok"/>
        </w:rPr>
        <w:t xml:space="preserve"># install.packages(pdftools)</w:t>
      </w:r>
      <w:r>
        <w:br/>
      </w:r>
      <w:r>
        <w:rPr>
          <w:rStyle w:val="CommentTok"/>
        </w:rPr>
        <w:t xml:space="preserve"># split PDF into pages stored in figures/sample-content/pdf_embed_example/split/</w:t>
      </w:r>
      <w:r>
        <w:br/>
      </w:r>
      <w:r>
        <w:rPr>
          <w:rStyle w:val="CommentTok"/>
        </w:rPr>
        <w:t xml:space="preserve"># pdftools::pdf_split("figures/sample-content/pdf_embed_example/Lyngs2020_FB.pdf",</w:t>
      </w:r>
      <w:r>
        <w:br/>
      </w:r>
      <w:r>
        <w:rPr>
          <w:rStyle w:val="CommentTok"/>
        </w:rPr>
        <w:t xml:space="preserve">#        output = "figures/sample-content/pdf_embed_example/split/")</w:t>
      </w:r>
      <w:r>
        <w:br/>
      </w:r>
      <w:r>
        <w:br/>
      </w:r>
      <w:r>
        <w:rPr>
          <w:rStyle w:val="CommentTok"/>
        </w:rPr>
        <w:t xml:space="preserve"># grab the pages</w:t>
      </w:r>
      <w:r>
        <w:br/>
      </w:r>
      <w:r>
        <w:rPr>
          <w:rStyle w:val="NormalTok"/>
        </w:rPr>
        <w:t xml:space="preserve">pages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"figures/sample-content/pdf_embed_example/split"</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set how wide you want the inserted PDFs to be: </w:t>
      </w:r>
      <w:r>
        <w:br/>
      </w:r>
      <w:r>
        <w:rPr>
          <w:rStyle w:val="CommentTok"/>
        </w:rPr>
        <w:t xml:space="preserve"># 1.0 is 100 per cent of the oxforddown PDF page width;</w:t>
      </w:r>
      <w:r>
        <w:br/>
      </w:r>
      <w:r>
        <w:rPr>
          <w:rStyle w:val="CommentTok"/>
        </w:rPr>
        <w:t xml:space="preserve"># you may want to make it a bit bigger</w:t>
      </w:r>
      <w:r>
        <w:br/>
      </w:r>
      <w:r>
        <w:rPr>
          <w:rStyle w:val="NormalTok"/>
        </w:rPr>
        <w:t xml:space="preserve">pdf_width </w:t>
      </w:r>
      <w:r>
        <w:rPr>
          <w:rStyle w:val="OtherTok"/>
        </w:rPr>
        <w:t xml:space="preserve">&lt;-</w:t>
      </w:r>
      <w:r>
        <w:rPr>
          <w:rStyle w:val="NormalTok"/>
        </w:rPr>
        <w:t xml:space="preserve"> </w:t>
      </w:r>
      <w:r>
        <w:rPr>
          <w:rStyle w:val="FloatTok"/>
        </w:rPr>
        <w:t xml:space="preserve">1.2</w:t>
      </w:r>
      <w:r>
        <w:br/>
      </w:r>
      <w:r>
        <w:br/>
      </w:r>
      <w:r>
        <w:rPr>
          <w:rStyle w:val="CommentTok"/>
        </w:rPr>
        <w:t xml:space="preserve"># for each PDF page, insert it nicely and</w:t>
      </w:r>
      <w:r>
        <w:br/>
      </w:r>
      <w:r>
        <w:rPr>
          <w:rStyle w:val="CommentTok"/>
        </w:rPr>
        <w:t xml:space="preserve"># end with a page break</w:t>
      </w:r>
      <w:r>
        <w:br/>
      </w:r>
      <w:r>
        <w:rPr>
          <w:rStyle w:val="FunctionTok"/>
        </w:rPr>
        <w:t xml:space="preserve">cat</w:t>
      </w:r>
      <w:r>
        <w:rPr>
          <w:rStyle w:val="NormalTok"/>
        </w:rPr>
        <w:t xml:space="preserve">(stringr</w:t>
      </w:r>
      <w:r>
        <w:rPr>
          <w:rStyle w:val="SpecialCharTok"/>
        </w:rPr>
        <w:t xml:space="preserve">::</w:t>
      </w:r>
      <w:r>
        <w:rPr>
          <w:rStyle w:val="FunctionTok"/>
        </w:rPr>
        <w:t xml:space="preserve">str_c</w:t>
      </w:r>
      <w:r>
        <w:rPr>
          <w:rStyle w:val="NormalTok"/>
        </w:rPr>
        <w:t xml:space="preserve">(</w:t>
      </w:r>
      <w:r>
        <w:rPr>
          <w:rStyle w:val="StringTok"/>
        </w:rPr>
        <w:t xml:space="preserve">"</w:t>
      </w:r>
      <w:r>
        <w:rPr>
          <w:rStyle w:val="SpecialCharTok"/>
        </w:rPr>
        <w:t xml:space="preserve">\\</w:t>
      </w:r>
      <w:r>
        <w:rPr>
          <w:rStyle w:val="StringTok"/>
        </w:rPr>
        <w:t xml:space="preserve">newpage </w:t>
      </w:r>
      <w:r>
        <w:rPr>
          <w:rStyle w:val="SpecialCharTok"/>
        </w:rPr>
        <w:t xml:space="preserve">\\</w:t>
      </w:r>
      <w:r>
        <w:rPr>
          <w:rStyle w:val="StringTok"/>
        </w:rPr>
        <w:t xml:space="preserve">begin{center} </w:t>
      </w:r>
      <w:r>
        <w:rPr>
          <w:rStyle w:val="SpecialCharTok"/>
        </w:rPr>
        <w:t xml:space="preserve">\\</w:t>
      </w:r>
      <w:r>
        <w:rPr>
          <w:rStyle w:val="StringTok"/>
        </w:rPr>
        <w:t xml:space="preserve">makebox[</w:t>
      </w:r>
      <w:r>
        <w:rPr>
          <w:rStyle w:val="SpecialCharTok"/>
        </w:rPr>
        <w:t xml:space="preserve">\\</w:t>
      </w:r>
      <w:r>
        <w:rPr>
          <w:rStyle w:val="StringTok"/>
        </w:rPr>
        <w:t xml:space="preserve">linewidth][c]{</w:t>
      </w:r>
      <w:r>
        <w:rPr>
          <w:rStyle w:val="SpecialCharTok"/>
        </w:rPr>
        <w:t xml:space="preserve">\\</w:t>
      </w:r>
      <w:r>
        <w:rPr>
          <w:rStyle w:val="StringTok"/>
        </w:rPr>
        <w:t xml:space="preserve">includegraphics[width="</w:t>
      </w:r>
      <w:r>
        <w:rPr>
          <w:rStyle w:val="NormalTok"/>
        </w:rPr>
        <w:t xml:space="preserve">, pdf_width, </w:t>
      </w:r>
      <w:r>
        <w:rPr>
          <w:rStyle w:val="StringTok"/>
        </w:rPr>
        <w:t xml:space="preserve">"</w:t>
      </w:r>
      <w:r>
        <w:rPr>
          <w:rStyle w:val="SpecialCharTok"/>
        </w:rPr>
        <w:t xml:space="preserve">\\</w:t>
      </w:r>
      <w:r>
        <w:rPr>
          <w:rStyle w:val="StringTok"/>
        </w:rPr>
        <w:t xml:space="preserve">linewidth]{"</w:t>
      </w:r>
      <w:r>
        <w:rPr>
          <w:rStyle w:val="NormalTok"/>
        </w:rPr>
        <w:t xml:space="preserve">, pages, </w:t>
      </w:r>
      <w:r>
        <w:rPr>
          <w:rStyle w:val="StringTok"/>
        </w:rPr>
        <w:t xml:space="preserve">"}} </w:t>
      </w:r>
      <w:r>
        <w:rPr>
          <w:rStyle w:val="SpecialCharTok"/>
        </w:rPr>
        <w:t xml:space="preserve">\\</w:t>
      </w:r>
      <w:r>
        <w:rPr>
          <w:rStyle w:val="StringTok"/>
        </w:rPr>
        <w:t xml:space="preserve">end{center}"</w:t>
      </w:r>
      <w:r>
        <w:rPr>
          <w:rStyle w:val="NormalTok"/>
        </w:rPr>
        <w:t xml:space="preserve">))</w:t>
      </w:r>
    </w:p>
    <w:p>
      <w:pPr>
        <w:pStyle w:val="FirstParagraph"/>
      </w:pPr>
      <w:r>
        <w:t xml:space="preserve"> </w:t>
      </w:r>
      <w:r>
        <w:t xml:space="preserve"> </w:t>
      </w:r>
      <w:r>
        <w:t xml:space="preserve"> </w:t>
      </w:r>
      <w:r>
        <w:t xml:space="preserve"> </w:t>
      </w:r>
      <w:r>
        <w:t xml:space="preserve"> </w:t>
      </w:r>
      <w:r>
        <w:t xml:space="preserve"> </w:t>
      </w:r>
    </w:p>
    <w:bookmarkEnd w:id="127"/>
    <w:bookmarkStart w:id="129" w:name="appendix"/>
    <w:p>
      <w:pPr>
        <w:pStyle w:val="Heading1"/>
      </w:pPr>
      <w:r>
        <w:t xml:space="preserve">Appendix</w:t>
      </w:r>
    </w:p>
    <w:bookmarkStart w:id="128" w:name="more-info"/>
    <w:p>
      <w:pPr>
        <w:pStyle w:val="Heading2"/>
      </w:pPr>
      <w:r>
        <w:t xml:space="preserve">More info</w:t>
      </w:r>
    </w:p>
    <w:p>
      <w:pPr>
        <w:pStyle w:val="FirstParagraph"/>
      </w:pPr>
      <w:r>
        <w:t xml:space="preserve">And here’s some other random info:</w:t>
      </w:r>
      <w:r>
        <w:t xml:space="preserve"> </w:t>
      </w:r>
      <w:r>
        <w:t xml:space="preserve">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w:t>
      </w:r>
      <w:r>
        <w:t xml:space="preserve"> </w:t>
      </w:r>
      <w:r>
        <w:t xml:space="preserve">Since that’s obvious after a chapter or section title, proper typesetting doesn’t add an indent there.</w:t>
      </w:r>
    </w:p>
    <w:p>
      <w:pPr>
        <w:pStyle w:val="BodyText"/>
      </w:pPr>
      <w:r>
        <w:t xml:space="preserve">This paragraph, by contrast,</w:t>
      </w:r>
      <w:r>
        <w:t xml:space="preserve"> </w:t>
      </w:r>
      <w:r>
        <w:rPr>
          <w:iCs/>
          <w:i/>
        </w:rPr>
        <w:t xml:space="preserve">will</w:t>
      </w:r>
      <w:r>
        <w:t xml:space="preserve"> </w:t>
      </w:r>
      <w:r>
        <w:t xml:space="preserve">be indented as it should because it is not the first one after the</w:t>
      </w:r>
      <w:r>
        <w:t xml:space="preserve"> </w:t>
      </w:r>
      <w:r>
        <w:t xml:space="preserve">‘</w:t>
      </w:r>
      <w:r>
        <w:t xml:space="preserve">More info</w:t>
      </w:r>
      <w:r>
        <w:t xml:space="preserve">’</w:t>
      </w:r>
      <w:r>
        <w:t xml:space="preserve"> </w:t>
      </w:r>
      <w:r>
        <w:t xml:space="preserve">heading.</w:t>
      </w:r>
      <w:r>
        <w:t xml:space="preserve"> </w:t>
      </w:r>
      <w:r>
        <w:t xml:space="preserve">All hail LaTeX. (If you’re reading the HTML version, you won’t see any indentation - have a look at the PDF version to understand what in the earth this section is babbling on about).</w:t>
      </w:r>
    </w:p>
    <w:bookmarkEnd w:id="128"/>
    <w:bookmarkEnd w:id="129"/>
    <w:bookmarkStart w:id="130" w:name="appendix-appendix"/>
    <w:p>
      <w:pPr>
        <w:pStyle w:val="Heading1"/>
      </w:pPr>
      <w:r>
        <w:t xml:space="preserve">(APPENDIX) Appendix</w:t>
      </w:r>
    </w:p>
    <w:bookmarkEnd w:id="130"/>
    <w:bookmarkStart w:id="131"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1"/>
    <w:bookmarkStart w:id="132" w:name="the-second-appendix-for-fun"/>
    <w:p>
      <w:pPr>
        <w:pStyle w:val="Heading1"/>
      </w:pPr>
      <w:r>
        <w:rPr>
          <w:rStyle w:val="SectionNumber"/>
        </w:rPr>
        <w:t xml:space="preserve">9</w:t>
      </w:r>
      <w:r>
        <w:tab/>
      </w:r>
      <w:r>
        <w:t xml:space="preserve">The Second Appendix, for Fun</w:t>
      </w:r>
    </w:p>
    <w:bookmarkEnd w:id="132"/>
    <w:bookmarkStart w:id="140" w:name="references"/>
    <w:p>
      <w:pPr>
        <w:pStyle w:val="Heading1"/>
      </w:pPr>
      <w:r>
        <w:t xml:space="preserve">References</w:t>
      </w:r>
    </w:p>
    <w:bookmarkStart w:id="139" w:name="refs"/>
    <w:bookmarkStart w:id="134"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33">
        <w:r>
          <w:rPr>
            <w:rStyle w:val="Hyperlink"/>
          </w:rPr>
          <w:t xml:space="preserve">https://doi.org/10.1177/1071181312561289</w:t>
        </w:r>
      </w:hyperlink>
    </w:p>
    <w:bookmarkEnd w:id="134"/>
    <w:bookmarkStart w:id="135"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35"/>
    <w:bookmarkStart w:id="137"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36">
        <w:r>
          <w:rPr>
            <w:rStyle w:val="Hyperlink"/>
          </w:rPr>
          <w:t xml:space="preserve">https://doi.org/10.1016/j.tics.2014.01.006</w:t>
        </w:r>
      </w:hyperlink>
    </w:p>
    <w:bookmarkEnd w:id="137"/>
    <w:bookmarkStart w:id="138"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49">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11" Target="media/rId111.png" /><Relationship Type="http://schemas.openxmlformats.org/officeDocument/2006/relationships/image" Id="rId116" Target="media/rId116.png" /><Relationship Type="http://schemas.openxmlformats.org/officeDocument/2006/relationships/image" Id="rId121" Target="media/rId121.png" /><Relationship Type="http://schemas.openxmlformats.org/officeDocument/2006/relationships/image" Id="rId38" Target="media/rId38.png" /><Relationship Type="http://schemas.openxmlformats.org/officeDocument/2006/relationships/image" Id="rId60" Target="media/rId60.jpg" /><Relationship Type="http://schemas.openxmlformats.org/officeDocument/2006/relationships/image" Id="rId81" Target="media/rId81.png" /><Relationship Type="http://schemas.openxmlformats.org/officeDocument/2006/relationships/image" Id="rId30" Target="media/rId30.png" /><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0" Target="http://criticmarkup.com" TargetMode="External" /><Relationship Type="http://schemas.openxmlformats.org/officeDocument/2006/relationships/hyperlink" Id="rId73" Target="https://bookdown.org/yihui/rmarkdown/" TargetMode="External" /><Relationship Type="http://schemas.openxmlformats.org/officeDocument/2006/relationships/hyperlink" Id="rId136" Target="https://doi.org/10.1016/j.tics.2014.01.006" TargetMode="External" /><Relationship Type="http://schemas.openxmlformats.org/officeDocument/2006/relationships/hyperlink" Id="rId133" Target="https://doi.org/10.1177/1071181312561289" TargetMode="External" /><Relationship Type="http://schemas.openxmlformats.org/officeDocument/2006/relationships/hyperlink" Id="rId69" Target="https://github.com/rstudio/rmarkdown/issues/1463" TargetMode="External" /><Relationship Type="http://schemas.openxmlformats.org/officeDocument/2006/relationships/hyperlink" Id="rId78" Target="https://haozhu233.github.io/kableExtra/" TargetMode="External" /><Relationship Type="http://schemas.openxmlformats.org/officeDocument/2006/relationships/hyperlink" Id="rId68" Target="https://livefreeordichotomize.com/2018/09/14/one-year-to-dissertate/" TargetMode="External" /><Relationship Type="http://schemas.openxmlformats.org/officeDocument/2006/relationships/hyperlink" Id="rId52" Target="https://pandoc.org" TargetMode="External" /><Relationship Type="http://schemas.openxmlformats.org/officeDocument/2006/relationships/hyperlink" Id="rId74" Target="https://r4ds.had.co.nz" TargetMode="External" /><Relationship Type="http://schemas.openxmlformats.org/officeDocument/2006/relationships/hyperlink" Id="rId51" Target="https://retorque.re/zotero-better-bibtex/" TargetMode="External" /><Relationship Type="http://schemas.openxmlformats.org/officeDocument/2006/relationships/hyperlink" Id="rId49" Target="https://rmarkdown.rstudio.com/authoring_bibliographies_and_citations.html" TargetMode="External" /><Relationship Type="http://schemas.openxmlformats.org/officeDocument/2006/relationships/hyperlink" Id="rId55" Target="https://rstudio.github.io/visual-markdown-editing/citations.html" TargetMode="External" /><Relationship Type="http://schemas.openxmlformats.org/officeDocument/2006/relationships/hyperlink" Id="rId71" Target="https://www.overleaf.com/" TargetMode="External" /><Relationship Type="http://schemas.openxmlformats.org/officeDocument/2006/relationships/hyperlink" Id="rId50" Target="https://www.zotero.org" TargetMode="External" /><Relationship Type="http://schemas.openxmlformats.org/officeDocument/2006/relationships/hyperlink" Id="rId5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0" Target="http://criticmarkup.com" TargetMode="External" /><Relationship Type="http://schemas.openxmlformats.org/officeDocument/2006/relationships/hyperlink" Id="rId73" Target="https://bookdown.org/yihui/rmarkdown/" TargetMode="External" /><Relationship Type="http://schemas.openxmlformats.org/officeDocument/2006/relationships/hyperlink" Id="rId136" Target="https://doi.org/10.1016/j.tics.2014.01.006" TargetMode="External" /><Relationship Type="http://schemas.openxmlformats.org/officeDocument/2006/relationships/hyperlink" Id="rId133" Target="https://doi.org/10.1177/1071181312561289" TargetMode="External" /><Relationship Type="http://schemas.openxmlformats.org/officeDocument/2006/relationships/hyperlink" Id="rId69" Target="https://github.com/rstudio/rmarkdown/issues/1463" TargetMode="External" /><Relationship Type="http://schemas.openxmlformats.org/officeDocument/2006/relationships/hyperlink" Id="rId78" Target="https://haozhu233.github.io/kableExtra/" TargetMode="External" /><Relationship Type="http://schemas.openxmlformats.org/officeDocument/2006/relationships/hyperlink" Id="rId68" Target="https://livefreeordichotomize.com/2018/09/14/one-year-to-dissertate/" TargetMode="External" /><Relationship Type="http://schemas.openxmlformats.org/officeDocument/2006/relationships/hyperlink" Id="rId52" Target="https://pandoc.org" TargetMode="External" /><Relationship Type="http://schemas.openxmlformats.org/officeDocument/2006/relationships/hyperlink" Id="rId74" Target="https://r4ds.had.co.nz" TargetMode="External" /><Relationship Type="http://schemas.openxmlformats.org/officeDocument/2006/relationships/hyperlink" Id="rId51" Target="https://retorque.re/zotero-better-bibtex/" TargetMode="External" /><Relationship Type="http://schemas.openxmlformats.org/officeDocument/2006/relationships/hyperlink" Id="rId49" Target="https://rmarkdown.rstudio.com/authoring_bibliographies_and_citations.html" TargetMode="External" /><Relationship Type="http://schemas.openxmlformats.org/officeDocument/2006/relationships/hyperlink" Id="rId55" Target="https://rstudio.github.io/visual-markdown-editing/citations.html" TargetMode="External" /><Relationship Type="http://schemas.openxmlformats.org/officeDocument/2006/relationships/hyperlink" Id="rId71" Target="https://www.overleaf.com/" TargetMode="External" /><Relationship Type="http://schemas.openxmlformats.org/officeDocument/2006/relationships/hyperlink" Id="rId50" Target="https://www.zotero.org" TargetMode="External" /><Relationship Type="http://schemas.openxmlformats.org/officeDocument/2006/relationships/hyperlink" Id="rId5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2022-12-25T00:05:42Z</dcterms:created>
  <dcterms:modified xsi:type="dcterms:W3CDTF">2022-12-25T00:05:42Z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frontmatter-linespacing">
    <vt:lpwstr>17pt plus1pt minus1pt</vt:lpwstr>
  </property>
  <property fmtid="{D5CDD505-2E9C-101B-9397-08002B2CF9AE}" pid="31" name="gap-after-crest">
    <vt:lpwstr>25mm</vt:lpwstr>
  </property>
  <property fmtid="{D5CDD505-2E9C-101B-9397-08002B2CF9AE}" pid="32" name="gap-before-crest">
    <vt:lpwstr>25mm</vt:lpwstr>
  </property>
  <property fmtid="{D5CDD505-2E9C-101B-9397-08002B2CF9AE}" pid="33" name="includeline-num">
    <vt:lpwstr>False</vt:lpwstr>
  </property>
  <property fmtid="{D5CDD505-2E9C-101B-9397-08002B2CF9AE}" pid="34" name="knit">
    <vt:lpwstr>(function(input, …) { thesis_formats &lt;- c(“bs4”, “pdf”, “word”); source(“scripts_and_filters/knit-functions.R”); knit_thesis(input, thesis_formats, …) })</vt:lpwstr>
  </property>
  <property fmtid="{D5CDD505-2E9C-101B-9397-08002B2CF9AE}" pid="35" name="linespacing">
    <vt:lpwstr>22pt plus2pt</vt:lpwstr>
  </property>
  <property fmtid="{D5CDD505-2E9C-101B-9397-08002B2CF9AE}" pid="36" name="link-citations">
    <vt:lpwstr>True</vt:lpwstr>
  </property>
  <property fmtid="{D5CDD505-2E9C-101B-9397-08002B2CF9AE}" pid="37" name="linkcolor-rgb">
    <vt:lpwstr>0,0,139</vt:lpwstr>
  </property>
  <property fmtid="{D5CDD505-2E9C-101B-9397-08002B2CF9AE}" pid="38" name="lof">
    <vt:lpwstr>True</vt:lpwstr>
  </property>
  <property fmtid="{D5CDD505-2E9C-101B-9397-08002B2CF9AE}" pid="39" name="lot">
    <vt:lpwstr>True</vt:lpwstr>
  </property>
  <property fmtid="{D5CDD505-2E9C-101B-9397-08002B2CF9AE}" pid="40" name="masters-submission">
    <vt:lpwstr>False</vt:lpwstr>
  </property>
  <property fmtid="{D5CDD505-2E9C-101B-9397-08002B2CF9AE}" pid="41" name="no-line-wrapping-in-code">
    <vt:lpwstr>False</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params">
    <vt:lpwstr/>
  </property>
  <property fmtid="{D5CDD505-2E9C-101B-9397-08002B2CF9AE}" pid="47" name="refs-line-spacing">
    <vt:lpwstr>6mm</vt:lpwstr>
  </property>
  <property fmtid="{D5CDD505-2E9C-101B-9397-08002B2CF9AE}" pid="48" name="refs-space-between-entries">
    <vt:lpwstr>1mm</vt:lpwstr>
  </property>
  <property fmtid="{D5CDD505-2E9C-101B-9397-08002B2CF9AE}" pid="49" name="remove-mini-toc">
    <vt:lpwstr>False</vt:lpwstr>
  </property>
  <property fmtid="{D5CDD505-2E9C-101B-9397-08002B2CF9AE}" pid="50" name="running-header">
    <vt:lpwstr>True</vt:lpwstr>
  </property>
  <property fmtid="{D5CDD505-2E9C-101B-9397-08002B2CF9AE}" pid="51" name="running-header-foot-or-head">
    <vt:lpwstr>head</vt:lpwstr>
  </property>
  <property fmtid="{D5CDD505-2E9C-101B-9397-08002B2CF9AE}" pid="52" name="running-header-position-leftmark">
    <vt:lpwstr>LO</vt:lpwstr>
  </property>
  <property fmtid="{D5CDD505-2E9C-101B-9397-08002B2CF9AE}" pid="53" name="running-header-position-rightmark">
    <vt:lpwstr>RE</vt:lpwstr>
  </property>
  <property fmtid="{D5CDD505-2E9C-101B-9397-08002B2CF9AE}" pid="54" name="section-numbering-depth">
    <vt:lpwstr>2</vt:lpwstr>
  </property>
  <property fmtid="{D5CDD505-2E9C-101B-9397-08002B2CF9AE}" pid="55" name="show-abstract-in-toc">
    <vt:lpwstr>False</vt:lpwstr>
  </property>
  <property fmtid="{D5CDD505-2E9C-101B-9397-08002B2CF9AE}" pid="56" name="show-acknowledgements-in-toc">
    <vt:lpwstr>False</vt:lpwstr>
  </property>
  <property fmtid="{D5CDD505-2E9C-101B-9397-08002B2CF9AE}" pid="57" name="space-after-code-block">
    <vt:lpwstr>8pt</vt:lpwstr>
  </property>
  <property fmtid="{D5CDD505-2E9C-101B-9397-08002B2CF9AE}" pid="58" name="space-before-code-block">
    <vt:lpwstr>10pt</vt:lpwstr>
  </property>
  <property fmtid="{D5CDD505-2E9C-101B-9397-08002B2CF9AE}" pid="59" name="submitted-text">
    <vt:lpwstr/>
  </property>
  <property fmtid="{D5CDD505-2E9C-101B-9397-08002B2CF9AE}" pid="60" name="table-of-contents">
    <vt:lpwstr>True</vt:lpwstr>
  </property>
  <property fmtid="{D5CDD505-2E9C-101B-9397-08002B2CF9AE}" pid="61" name="title-page">
    <vt:lpwstr>True</vt:lpwstr>
  </property>
  <property fmtid="{D5CDD505-2E9C-101B-9397-08002B2CF9AE}" pid="62" name="title-size">
    <vt:lpwstr>22pt</vt:lpwstr>
  </property>
  <property fmtid="{D5CDD505-2E9C-101B-9397-08002B2CF9AE}" pid="63" name="title-size-linespacing">
    <vt:lpwstr>28pt</vt:lpwstr>
  </property>
  <property fmtid="{D5CDD505-2E9C-101B-9397-08002B2CF9AE}" pid="64" name="toc-depth">
    <vt:lpwstr>1</vt:lpwstr>
  </property>
  <property fmtid="{D5CDD505-2E9C-101B-9397-08002B2CF9AE}" pid="65" name="toc-link-page-numbers">
    <vt:lpwstr>True</vt:lpwstr>
  </property>
  <property fmtid="{D5CDD505-2E9C-101B-9397-08002B2CF9AE}" pid="66" name="university">
    <vt:lpwstr>–</vt:lpwstr>
  </property>
  <property fmtid="{D5CDD505-2E9C-101B-9397-08002B2CF9AE}" pid="67" name="university-logo">
    <vt:lpwstr>templates/download.png</vt:lpwstr>
  </property>
  <property fmtid="{D5CDD505-2E9C-101B-9397-08002B2CF9AE}" pid="68" name="university-logo-width">
    <vt:lpwstr>5cm</vt:lpwstr>
  </property>
  <property fmtid="{D5CDD505-2E9C-101B-9397-08002B2CF9AE}" pid="69" name="urlcolor-rgb">
    <vt:lpwstr>0,0,139</vt:lpwstr>
  </property>
  <property fmtid="{D5CDD505-2E9C-101B-9397-08002B2CF9AE}" pid="70" name="word-count">
    <vt:lpwstr>0</vt:lpwstr>
  </property>
</Properties>
</file>