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9.png" ContentType="image/png"/>
  <Override PartName="/word/media/rId61.png" ContentType="image/png"/>
  <Override PartName="/word/media/rId42.png" ContentType="image/png"/>
  <Override PartName="/word/media/rId75.png" ContentType="image/png"/>
  <Override PartName="/word/media/rId39.png" ContentType="image/png"/>
  <Override PartName="/word/media/rId94.png" ContentType="image/png"/>
  <Override PartName="/word/media/rId91.png" ContentType="image/png"/>
  <Override PartName="/word/media/rId66.png" ContentType="image/png"/>
  <Override PartName="/word/media/rId72.png" ContentType="image/png"/>
  <Override PartName="/word/media/rId103.png" ContentType="image/png"/>
  <Override PartName="/word/media/rId52.png" ContentType="image/png"/>
  <Override PartName="/word/media/rId22.png" ContentType="image/png"/>
  <Override PartName="/word/media/rId111.png" ContentType="image/png"/>
  <Override PartName="/word/media/rId108.png" ContentType="image/png"/>
  <Override PartName="/word/media/rId86.png" ContentType="image/png"/>
  <Override PartName="/word/media/rId78.png" ContentType="image/png"/>
  <Override PartName="/word/media/rId49.png" ContentType="image/png"/>
  <Override PartName="/word/media/rId81.png" ContentType="image/png"/>
  <Override PartName="/word/media/rId1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Healthcare</w:t>
      </w:r>
      <w:r>
        <w:t xml:space="preserve"> </w:t>
      </w:r>
      <w:r>
        <w:t xml:space="preserve">education</w:t>
      </w:r>
      <w:r>
        <w:t xml:space="preserve"> </w:t>
      </w:r>
      <w:r>
        <w:t xml:space="preserve">can</w:t>
      </w:r>
      <w:r>
        <w:t xml:space="preserve"> </w:t>
      </w:r>
      <w:r>
        <w:t xml:space="preserve">be</w:t>
      </w:r>
      <w:r>
        <w:t xml:space="preserve"> </w:t>
      </w:r>
      <w:r>
        <w:t xml:space="preserve">supported</w:t>
      </w:r>
      <w:r>
        <w:t xml:space="preserve"> </w:t>
      </w:r>
      <w:r>
        <w:t xml:space="preserve">by</w:t>
      </w:r>
      <w:r>
        <w:t xml:space="preserve"> </w:t>
      </w:r>
      <w:r>
        <w:t xml:space="preserve">machine</w:t>
      </w:r>
      <w:r>
        <w:t xml:space="preserve"> </w:t>
      </w:r>
      <w:r>
        <w:t xml:space="preserve">learning</w:t>
      </w:r>
      <w:r>
        <w:t xml:space="preserve"> </w:t>
      </w:r>
      <w:r>
        <w:t xml:space="preserve">conversation</w:t>
      </w:r>
      <w:r>
        <w:t xml:space="preserve"> </w:t>
      </w:r>
      <w:r>
        <w:t xml:space="preserve">agents.</w:t>
      </w:r>
      <w:r>
        <w:t xml:space="preserve"> </w:t>
      </w:r>
      <w:r>
        <w:t xml:space="preserve">However,</w:t>
      </w:r>
      <w:r>
        <w:t xml:space="preserve"> </w:t>
      </w:r>
      <w:r>
        <w:t xml:space="preserve">there</w:t>
      </w:r>
      <w:r>
        <w:t xml:space="preserve"> </w:t>
      </w:r>
      <w:r>
        <w:t xml:space="preserve">is</w:t>
      </w:r>
      <w:r>
        <w:t xml:space="preserve"> </w:t>
      </w:r>
      <w:r>
        <w:t xml:space="preserve">rapid</w:t>
      </w:r>
      <w:r>
        <w:t xml:space="preserve"> </w:t>
      </w:r>
      <w:r>
        <w:t xml:space="preserve">pace</w:t>
      </w:r>
      <w:r>
        <w:t xml:space="preserve"> </w:t>
      </w:r>
      <w:r>
        <w:t xml:space="preserve">of</w:t>
      </w:r>
      <w:r>
        <w:t xml:space="preserve"> </w:t>
      </w:r>
      <w:r>
        <w:t xml:space="preserve">technical</w:t>
      </w:r>
      <w:r>
        <w:t xml:space="preserve"> </w:t>
      </w:r>
      <w:r>
        <w:t xml:space="preserve">development,</w:t>
      </w:r>
      <w:r>
        <w:t xml:space="preserve"> </w:t>
      </w:r>
      <w:r>
        <w:t xml:space="preserve">complex</w:t>
      </w:r>
      <w:r>
        <w:t xml:space="preserve"> </w:t>
      </w:r>
      <w:r>
        <w:t xml:space="preserve">subject</w:t>
      </w:r>
      <w:r>
        <w:t xml:space="preserve"> </w:t>
      </w:r>
      <w:r>
        <w:t xml:space="preserve">areas</w:t>
      </w:r>
      <w:r>
        <w:t xml:space="preserve"> </w:t>
      </w:r>
      <w:r>
        <w:t xml:space="preserve">in</w:t>
      </w:r>
      <w:r>
        <w:t xml:space="preserve"> </w:t>
      </w:r>
      <w:r>
        <w:t xml:space="preserve">healthcare</w:t>
      </w:r>
      <w:r>
        <w:t xml:space="preserve"> </w:t>
      </w:r>
      <w:r>
        <w:t xml:space="preserve">and</w:t>
      </w:r>
      <w:r>
        <w:t xml:space="preserve"> </w:t>
      </w:r>
      <w:r>
        <w:t xml:space="preserve">sensitive</w:t>
      </w:r>
      <w:r>
        <w:t xml:space="preserve"> </w:t>
      </w:r>
      <w:r>
        <w:t xml:space="preserve">design</w:t>
      </w:r>
      <w:r>
        <w:t xml:space="preserve"> </w:t>
      </w:r>
      <w:r>
        <w:t xml:space="preserve">and</w:t>
      </w:r>
      <w:r>
        <w:t xml:space="preserve"> </w:t>
      </w:r>
      <w:r>
        <w:t xml:space="preserve">development</w:t>
      </w:r>
      <w:r>
        <w:t xml:space="preserve"> </w:t>
      </w:r>
      <w:r>
        <w:t xml:space="preserve">protocols</w:t>
      </w:r>
      <w:r>
        <w:t xml:space="preserve"> </w:t>
      </w:r>
      <w:r>
        <w:t xml:space="preserve">which</w:t>
      </w:r>
      <w:r>
        <w:t xml:space="preserve"> </w:t>
      </w:r>
      <w:r>
        <w:t xml:space="preserve">required</w:t>
      </w:r>
      <w:r>
        <w:t xml:space="preserve"> </w:t>
      </w:r>
      <w:r>
        <w:t xml:space="preserve">expertise.</w:t>
      </w:r>
      <w:r>
        <w:t xml:space="preserve"> </w:t>
      </w:r>
      <w:r>
        <w:t xml:space="preserve">With</w:t>
      </w:r>
      <w:r>
        <w:t xml:space="preserve"> </w:t>
      </w:r>
      <w:r>
        <w:t xml:space="preserve">these</w:t>
      </w:r>
      <w:r>
        <w:t xml:space="preserve"> </w:t>
      </w:r>
      <w:r>
        <w:t xml:space="preserve">issues,</w:t>
      </w:r>
      <w:r>
        <w:t xml:space="preserve"> </w:t>
      </w:r>
      <w:r>
        <w:t xml:space="preserve">current</w:t>
      </w:r>
      <w:r>
        <w:t xml:space="preserve"> </w:t>
      </w:r>
      <w:r>
        <w:t xml:space="preserve">outcomes</w:t>
      </w:r>
      <w:r>
        <w:t xml:space="preserve"> </w:t>
      </w:r>
      <w:r>
        <w:t xml:space="preserve">have</w:t>
      </w:r>
      <w:r>
        <w:t xml:space="preserve"> </w:t>
      </w:r>
      <w:r>
        <w:t xml:space="preserve">barriers</w:t>
      </w:r>
      <w:r>
        <w:t xml:space="preserve"> </w:t>
      </w:r>
      <w:r>
        <w:t xml:space="preserve">in</w:t>
      </w:r>
      <w:r>
        <w:t xml:space="preserve"> </w:t>
      </w:r>
      <w:r>
        <w:t xml:space="preserve">design,</w:t>
      </w:r>
      <w:r>
        <w:t xml:space="preserve"> </w:t>
      </w:r>
      <w:r>
        <w:t xml:space="preserve">development,</w:t>
      </w:r>
      <w:r>
        <w:t xml:space="preserve"> </w:t>
      </w:r>
      <w:r>
        <w:t xml:space="preserve">implementation,</w:t>
      </w:r>
      <w:r>
        <w:t xml:space="preserve"> </w:t>
      </w:r>
      <w:r>
        <w:t xml:space="preserve">and</w:t>
      </w:r>
      <w:r>
        <w:t xml:space="preserve"> </w:t>
      </w:r>
      <w:r>
        <w:t xml:space="preserve">in</w:t>
      </w:r>
      <w:r>
        <w:t xml:space="preserve"> </w:t>
      </w:r>
      <w:r>
        <w:t xml:space="preserve">cases</w:t>
      </w:r>
      <w:r>
        <w:t xml:space="preserve"> </w:t>
      </w:r>
      <w:r>
        <w:t xml:space="preserve">their</w:t>
      </w:r>
      <w:r>
        <w:t xml:space="preserve"> </w:t>
      </w:r>
      <w:r>
        <w:t xml:space="preserve">evaluation.</w:t>
      </w:r>
      <w:r>
        <w:t xml:space="preserve"> </w:t>
      </w:r>
      <w:r>
        <w:t xml:space="preserve">By</w:t>
      </w:r>
      <w:r>
        <w:t xml:space="preserve"> </w:t>
      </w:r>
      <w:r>
        <w:t xml:space="preserve">utilizing</w:t>
      </w:r>
      <w:r>
        <w:t xml:space="preserve"> </w:t>
      </w:r>
      <w:r>
        <w:t xml:space="preserve">a</w:t>
      </w:r>
      <w:r>
        <w:t xml:space="preserve"> </w:t>
      </w:r>
      <w:r>
        <w:t xml:space="preserve">long-standing</w:t>
      </w:r>
      <w:r>
        <w:t xml:space="preserve"> </w:t>
      </w:r>
      <w:r>
        <w:t xml:space="preserve">framework</w:t>
      </w:r>
      <w:r>
        <w:t xml:space="preserve"> </w:t>
      </w:r>
      <w:r>
        <w:t xml:space="preserve">named</w:t>
      </w:r>
      <w:r>
        <w:t xml:space="preserve"> </w:t>
      </w:r>
      <w:r>
        <w:t xml:space="preserve">the</w:t>
      </w:r>
      <w:r>
        <w:t xml:space="preserve"> </w:t>
      </w:r>
      <w:r>
        <w:t xml:space="preserve">ASPIRE</w:t>
      </w:r>
      <w:r>
        <w:t xml:space="preserve"> </w:t>
      </w:r>
      <w:r>
        <w:t xml:space="preserve">framework,</w:t>
      </w:r>
      <w:r>
        <w:t xml:space="preserve"> </w:t>
      </w:r>
      <w:r>
        <w:t xml:space="preserve">the</w:t>
      </w:r>
      <w:r>
        <w:t xml:space="preserve"> </w:t>
      </w:r>
      <w:r>
        <w:t xml:space="preserve">CEPEH</w:t>
      </w:r>
      <w:r>
        <w:t xml:space="preserve"> </w:t>
      </w:r>
      <w:r>
        <w:t xml:space="preserve">team</w:t>
      </w:r>
      <w:r>
        <w:t xml:space="preserve"> </w:t>
      </w:r>
      <w:r>
        <w:t xml:space="preserve">have</w:t>
      </w:r>
      <w:r>
        <w:t xml:space="preserve"> </w:t>
      </w:r>
      <w:r>
        <w:t xml:space="preserve">reinvented</w:t>
      </w:r>
      <w:r>
        <w:t xml:space="preserve"> </w:t>
      </w:r>
      <w:r>
        <w:t xml:space="preserve">parts</w:t>
      </w:r>
      <w:r>
        <w:t xml:space="preserve"> </w:t>
      </w:r>
      <w:r>
        <w:t xml:space="preserve">of</w:t>
      </w:r>
      <w:r>
        <w:t xml:space="preserve"> </w:t>
      </w:r>
      <w:r>
        <w:t xml:space="preserve">the</w:t>
      </w:r>
      <w:r>
        <w:t xml:space="preserve"> </w:t>
      </w:r>
      <w:r>
        <w:t xml:space="preserve">process</w:t>
      </w:r>
      <w:r>
        <w:t xml:space="preserve"> </w:t>
      </w:r>
      <w:r>
        <w:t xml:space="preserve">to</w:t>
      </w:r>
      <w:r>
        <w:t xml:space="preserve"> </w:t>
      </w:r>
      <w:r>
        <w:t xml:space="preserve">streamline</w:t>
      </w:r>
      <w:r>
        <w:t xml:space="preserve"> </w:t>
      </w:r>
      <w:r>
        <w:t xml:space="preserve">and</w:t>
      </w:r>
      <w:r>
        <w:t xml:space="preserve"> </w:t>
      </w:r>
      <w:r>
        <w:t xml:space="preserve">dampen</w:t>
      </w:r>
      <w:r>
        <w:t xml:space="preserve"> </w:t>
      </w:r>
      <w:r>
        <w:t xml:space="preserve">common</w:t>
      </w:r>
      <w:r>
        <w:t xml:space="preserve"> </w:t>
      </w:r>
      <w:r>
        <w:t xml:space="preserve">problems.</w:t>
      </w:r>
      <w:r>
        <w:t xml:space="preserve"> </w:t>
      </w:r>
      <w:r>
        <w:t xml:space="preserve">Stakeholder</w:t>
      </w:r>
      <w:r>
        <w:t xml:space="preserve"> </w:t>
      </w:r>
      <w:r>
        <w:t xml:space="preserve">inclusion</w:t>
      </w:r>
      <w:r>
        <w:t xml:space="preserve"> </w:t>
      </w:r>
      <w:r>
        <w:t xml:space="preserve">was</w:t>
      </w:r>
      <w:r>
        <w:t xml:space="preserve"> </w:t>
      </w:r>
      <w:r>
        <w:t xml:space="preserve">facilitated</w:t>
      </w:r>
      <w:r>
        <w:t xml:space="preserve"> </w:t>
      </w:r>
      <w:r>
        <w:t xml:space="preserve">by</w:t>
      </w:r>
      <w:r>
        <w:t xml:space="preserve"> </w:t>
      </w:r>
      <w:r>
        <w:t xml:space="preserve">the</w:t>
      </w:r>
      <w:r>
        <w:t xml:space="preserve"> </w:t>
      </w:r>
      <w:r>
        <w:t xml:space="preserve">ASPIRE</w:t>
      </w:r>
      <w:r>
        <w:t xml:space="preserve"> </w:t>
      </w:r>
      <w:r>
        <w:t xml:space="preserve">process</w:t>
      </w:r>
      <w:r>
        <w:t xml:space="preserve"> </w:t>
      </w:r>
      <w:r>
        <w:t xml:space="preserve">and</w:t>
      </w:r>
      <w:r>
        <w:t xml:space="preserve"> </w:t>
      </w:r>
      <w:r>
        <w:t xml:space="preserve">the</w:t>
      </w:r>
      <w:r>
        <w:t xml:space="preserve"> </w:t>
      </w:r>
      <w:r>
        <w:t xml:space="preserve">synergistic</w:t>
      </w:r>
      <w:r>
        <w:t xml:space="preserve"> </w:t>
      </w:r>
      <w:r>
        <w:t xml:space="preserve">effect</w:t>
      </w:r>
      <w:r>
        <w:t xml:space="preserve"> </w:t>
      </w:r>
      <w:r>
        <w:t xml:space="preserve">of</w:t>
      </w:r>
      <w:r>
        <w:t xml:space="preserve"> </w:t>
      </w:r>
      <w:r>
        <w:t xml:space="preserve">development</w:t>
      </w:r>
      <w:r>
        <w:t xml:space="preserve"> </w:t>
      </w:r>
      <w:r>
        <w:t xml:space="preserve">heuristics,</w:t>
      </w:r>
      <w:r>
        <w:t xml:space="preserve"> </w:t>
      </w:r>
      <w:r>
        <w:t xml:space="preserve">learners’</w:t>
      </w:r>
      <w:r>
        <w:t xml:space="preserve"> </w:t>
      </w:r>
      <w:r>
        <w:t xml:space="preserve">perspectives,</w:t>
      </w:r>
      <w:r>
        <w:t xml:space="preserve"> </w:t>
      </w:r>
      <w:r>
        <w:t xml:space="preserve">and</w:t>
      </w:r>
      <w:r>
        <w:t xml:space="preserve"> </w:t>
      </w:r>
      <w:r>
        <w:t xml:space="preserve">subject</w:t>
      </w:r>
      <w:r>
        <w:t xml:space="preserve"> </w:t>
      </w:r>
      <w:r>
        <w:t xml:space="preserve">expertise</w:t>
      </w:r>
      <w:r>
        <w:t xml:space="preserve"> </w:t>
      </w:r>
      <w:r>
        <w:t xml:space="preserve">validation.</w:t>
      </w:r>
      <w:r>
        <w:t xml:space="preserve"> </w:t>
      </w:r>
      <w:r>
        <w:t xml:space="preserve">The</w:t>
      </w:r>
      <w:r>
        <w:t xml:space="preserve"> </w:t>
      </w:r>
      <w:r>
        <w:t xml:space="preserve">resultant</w:t>
      </w:r>
      <w:r>
        <w:t xml:space="preserve"> </w:t>
      </w:r>
      <w:r>
        <w:t xml:space="preserve">4</w:t>
      </w:r>
      <w:r>
        <w:t xml:space="preserve"> </w:t>
      </w:r>
      <w:r>
        <w:t xml:space="preserve">chatbots,</w:t>
      </w:r>
      <w:r>
        <w:t xml:space="preserve"> </w:t>
      </w:r>
      <w:r>
        <w:t xml:space="preserve">in</w:t>
      </w:r>
      <w:r>
        <w:t xml:space="preserve"> </w:t>
      </w:r>
      <w:r>
        <w:t xml:space="preserve">differing</w:t>
      </w:r>
      <w:r>
        <w:t xml:space="preserve"> </w:t>
      </w:r>
      <w:r>
        <w:t xml:space="preserve">healthcare</w:t>
      </w:r>
      <w:r>
        <w:t xml:space="preserve"> </w:t>
      </w:r>
      <w:r>
        <w:t xml:space="preserve">topics,</w:t>
      </w:r>
      <w:r>
        <w:t xml:space="preserve"> </w:t>
      </w:r>
      <w:r>
        <w:t xml:space="preserve">were</w:t>
      </w:r>
      <w:r>
        <w:t xml:space="preserve"> </w:t>
      </w:r>
      <w:r>
        <w:t xml:space="preserve">evaluated</w:t>
      </w:r>
      <w:r>
        <w:t xml:space="preserve"> </w:t>
      </w:r>
      <w:r>
        <w:t xml:space="preserve">to</w:t>
      </w:r>
      <w:r>
        <w:t xml:space="preserve"> </w:t>
      </w:r>
      <w:r>
        <w:t xml:space="preserve">understand</w:t>
      </w:r>
      <w:r>
        <w:t xml:space="preserve"> </w:t>
      </w:r>
      <w:r>
        <w:t xml:space="preserve">how</w:t>
      </w:r>
      <w:r>
        <w:t xml:space="preserve"> </w:t>
      </w:r>
      <w:r>
        <w:t xml:space="preserve">this</w:t>
      </w:r>
      <w:r>
        <w:t xml:space="preserve"> </w:t>
      </w:r>
      <w:r>
        <w:t xml:space="preserve">simplistic</w:t>
      </w:r>
      <w:r>
        <w:t xml:space="preserve"> </w:t>
      </w:r>
      <w:r>
        <w:t xml:space="preserve">and</w:t>
      </w:r>
      <w:r>
        <w:t xml:space="preserve"> </w:t>
      </w:r>
      <w:r>
        <w:t xml:space="preserve">inclusive</w:t>
      </w:r>
      <w:r>
        <w:t xml:space="preserve"> </w:t>
      </w:r>
      <w:r>
        <w:t xml:space="preserve">approach</w:t>
      </w:r>
      <w:r>
        <w:t xml:space="preserve"> </w:t>
      </w:r>
      <w:r>
        <w:t xml:space="preserve">changes</w:t>
      </w:r>
      <w:r>
        <w:t xml:space="preserve"> </w:t>
      </w:r>
      <w:r>
        <w:t xml:space="preserve">learners’</w:t>
      </w:r>
      <w:r>
        <w:t xml:space="preserve"> </w:t>
      </w:r>
      <w:r>
        <w:t xml:space="preserve">perspectives</w:t>
      </w:r>
      <w:r>
        <w:t xml:space="preserve"> </w:t>
      </w:r>
      <w:r>
        <w:t xml:space="preserve">and</w:t>
      </w:r>
      <w:r>
        <w:t xml:space="preserve"> </w:t>
      </w:r>
      <w:r>
        <w:t xml:space="preserve">experience</w:t>
      </w:r>
      <w:r>
        <w:t xml:space="preserve"> </w:t>
      </w:r>
      <w:r>
        <w:t xml:space="preserve">of</w:t>
      </w:r>
      <w:r>
        <w:t xml:space="preserve"> </w:t>
      </w:r>
      <w:r>
        <w:t xml:space="preserve">chatbots/conversational</w:t>
      </w:r>
      <w:r>
        <w:t xml:space="preserve"> </w:t>
      </w:r>
      <w:r>
        <w:t xml:space="preserve">agents,</w:t>
      </w:r>
      <w:r>
        <w:t xml:space="preserve"> </w:t>
      </w:r>
      <w:r>
        <w:t xml:space="preserve">to</w:t>
      </w:r>
      <w:r>
        <w:t xml:space="preserve"> </w:t>
      </w:r>
      <w:r>
        <w:t xml:space="preserve">promote</w:t>
      </w:r>
      <w:r>
        <w:t xml:space="preserve"> </w:t>
      </w:r>
      <w:r>
        <w:t xml:space="preserve">uptake</w:t>
      </w:r>
      <w:r>
        <w:t xml:space="preserve"> </w:t>
      </w:r>
      <w:r>
        <w:t xml:space="preserve">and</w:t>
      </w:r>
      <w:r>
        <w:t xml:space="preserve"> </w:t>
      </w:r>
      <w:r>
        <w:t xml:space="preserve">course</w:t>
      </w:r>
      <w:r>
        <w:t xml:space="preserve"> </w:t>
      </w:r>
      <w:r>
        <w:t xml:space="preserve">performance.</w:t>
      </w:r>
      <w:r>
        <w:t xml:space="preserve"> </w:t>
      </w:r>
      <w:r>
        <w:t xml:space="preserve">The</w:t>
      </w:r>
      <w:r>
        <w:t xml:space="preserve"> </w:t>
      </w:r>
      <w:r>
        <w:t xml:space="preserve">results</w:t>
      </w:r>
      <w:r>
        <w:t xml:space="preserve"> </w:t>
      </w:r>
      <w:r>
        <w:t xml:space="preserve">showed</w:t>
      </w:r>
      <w:r>
        <w:t xml:space="preserve"> </w:t>
      </w:r>
      <w:r>
        <w:t xml:space="preserve">the</w:t>
      </w:r>
      <w:r>
        <w:t xml:space="preserve"> </w:t>
      </w:r>
      <w:r>
        <w:t xml:space="preserve">majority</w:t>
      </w:r>
      <w:r>
        <w:t xml:space="preserve"> </w:t>
      </w:r>
      <w:r>
        <w:t xml:space="preserve">of</w:t>
      </w:r>
      <w:r>
        <w:t xml:space="preserve"> </w:t>
      </w:r>
      <w:r>
        <w:t xml:space="preserve">descriptive</w:t>
      </w:r>
      <w:r>
        <w:t xml:space="preserve"> </w:t>
      </w:r>
      <w:r>
        <w:t xml:space="preserve">metrics</w:t>
      </w:r>
      <w:r>
        <w:t xml:space="preserve"> </w:t>
      </w:r>
      <w:r>
        <w:t xml:space="preserve">(means,</w:t>
      </w:r>
      <w:r>
        <w:t xml:space="preserve"> </w:t>
      </w:r>
      <w:r>
        <w:t xml:space="preserve">medians,</w:t>
      </w:r>
      <w:r>
        <w:t xml:space="preserve"> </w:t>
      </w:r>
      <w:r>
        <w:t xml:space="preserve">modes)</w:t>
      </w:r>
      <w:r>
        <w:t xml:space="preserve"> </w:t>
      </w:r>
      <w:r>
        <w:t xml:space="preserve">improved</w:t>
      </w:r>
      <w:r>
        <w:t xml:space="preserve"> </w:t>
      </w:r>
      <w:r>
        <w:t xml:space="preserve">marginally,</w:t>
      </w:r>
      <w:r>
        <w:t xml:space="preserve"> </w:t>
      </w:r>
      <w:r>
        <w:t xml:space="preserve">with</w:t>
      </w:r>
      <w:r>
        <w:t xml:space="preserve"> </w:t>
      </w:r>
      <w:r>
        <w:t xml:space="preserve">minority</w:t>
      </w:r>
      <w:r>
        <w:t xml:space="preserve"> </w:t>
      </w:r>
      <w:r>
        <w:t xml:space="preserve">showing</w:t>
      </w:r>
      <w:r>
        <w:t xml:space="preserve"> </w:t>
      </w:r>
      <w:r>
        <w:t xml:space="preserve">no</w:t>
      </w:r>
      <w:r>
        <w:t xml:space="preserve"> </w:t>
      </w:r>
      <w:r>
        <w:t xml:space="preserve">or</w:t>
      </w:r>
      <w:r>
        <w:t xml:space="preserve"> </w:t>
      </w:r>
      <w:r>
        <w:t xml:space="preserve">reduced</w:t>
      </w:r>
      <w:r>
        <w:t xml:space="preserve"> </w:t>
      </w:r>
      <w:r>
        <w:t xml:space="preserve">feedback.</w:t>
      </w:r>
      <w:r>
        <w:t xml:space="preserve"> </w:t>
      </w:r>
      <w:r>
        <w:t xml:space="preserve">Majority</w:t>
      </w:r>
      <w:r>
        <w:t xml:space="preserve"> </w:t>
      </w:r>
      <w:r>
        <w:t xml:space="preserve">consensus</w:t>
      </w:r>
      <w:r>
        <w:t xml:space="preserve"> </w:t>
      </w:r>
      <w:r>
        <w:t xml:space="preserve">of</w:t>
      </w:r>
      <w:r>
        <w:t xml:space="preserve"> </w:t>
      </w:r>
      <w:r>
        <w:t xml:space="preserve">improved</w:t>
      </w:r>
      <w:r>
        <w:t xml:space="preserve"> </w:t>
      </w:r>
      <w:r>
        <w:t xml:space="preserve">experience</w:t>
      </w:r>
      <w:r>
        <w:t xml:space="preserve"> </w:t>
      </w:r>
      <w:r>
        <w:t xml:space="preserve">and</w:t>
      </w:r>
      <w:r>
        <w:t xml:space="preserve"> </w:t>
      </w:r>
      <w:r>
        <w:t xml:space="preserve">perspective</w:t>
      </w:r>
      <w:r>
        <w:t xml:space="preserve"> </w:t>
      </w:r>
      <w:r>
        <w:t xml:space="preserve">is</w:t>
      </w:r>
      <w:r>
        <w:t xml:space="preserve"> </w:t>
      </w:r>
      <w:r>
        <w:t xml:space="preserve">a</w:t>
      </w:r>
      <w:r>
        <w:t xml:space="preserve"> </w:t>
      </w:r>
      <w:r>
        <w:t xml:space="preserve">great</w:t>
      </w:r>
      <w:r>
        <w:t xml:space="preserve"> </w:t>
      </w:r>
      <w:r>
        <w:t xml:space="preserve">outcome</w:t>
      </w:r>
      <w:r>
        <w:t xml:space="preserve"> </w:t>
      </w:r>
      <w:r>
        <w:t xml:space="preserve">considering</w:t>
      </w:r>
      <w:r>
        <w:t xml:space="preserve"> </w:t>
      </w:r>
      <w:r>
        <w:t xml:space="preserve">learners’</w:t>
      </w:r>
      <w:r>
        <w:t xml:space="preserve"> </w:t>
      </w:r>
      <w:r>
        <w:t xml:space="preserve">concerns</w:t>
      </w:r>
      <w:r>
        <w:t xml:space="preserve"> </w:t>
      </w:r>
      <w:r>
        <w:t xml:space="preserve">and</w:t>
      </w:r>
      <w:r>
        <w:t xml:space="preserve"> </w:t>
      </w:r>
      <w:r>
        <w:t xml:space="preserve">anxieties</w:t>
      </w:r>
      <w:r>
        <w:t xml:space="preserve"> </w:t>
      </w:r>
      <w:r>
        <w:t xml:space="preserve">noted</w:t>
      </w:r>
      <w:r>
        <w:t xml:space="preserve"> </w:t>
      </w:r>
      <w:r>
        <w:t xml:space="preserve">in</w:t>
      </w:r>
      <w:r>
        <w:t xml:space="preserve"> </w:t>
      </w:r>
      <w:r>
        <w:t xml:space="preserve">previous</w:t>
      </w:r>
      <w:r>
        <w:t xml:space="preserve"> </w:t>
      </w:r>
      <w:r>
        <w:t xml:space="preserve">literature.</w:t>
      </w:r>
      <w:r>
        <w:t xml:space="preserve"> </w:t>
      </w:r>
      <w:r>
        <w:t xml:space="preserve">This</w:t>
      </w:r>
      <w:r>
        <w:t xml:space="preserve"> </w:t>
      </w:r>
      <w:r>
        <w:t xml:space="preserve">heterogeneity</w:t>
      </w:r>
      <w:r>
        <w:t xml:space="preserve"> </w:t>
      </w:r>
      <w:r>
        <w:t xml:space="preserve">was</w:t>
      </w:r>
      <w:r>
        <w:t xml:space="preserve"> </w:t>
      </w:r>
      <w:r>
        <w:t xml:space="preserve">explored</w:t>
      </w:r>
      <w:r>
        <w:t xml:space="preserve"> </w:t>
      </w:r>
      <w:r>
        <w:t xml:space="preserve">to</w:t>
      </w:r>
      <w:r>
        <w:t xml:space="preserve"> </w:t>
      </w:r>
      <w:r>
        <w:t xml:space="preserve">understand</w:t>
      </w:r>
      <w:r>
        <w:t xml:space="preserve"> </w:t>
      </w:r>
      <w:r>
        <w:t xml:space="preserve">the</w:t>
      </w:r>
      <w:r>
        <w:t xml:space="preserve"> </w:t>
      </w:r>
      <w:r>
        <w:t xml:space="preserve">technical</w:t>
      </w:r>
      <w:r>
        <w:t xml:space="preserve"> </w:t>
      </w:r>
      <w:r>
        <w:t xml:space="preserve">and</w:t>
      </w:r>
      <w:r>
        <w:t xml:space="preserve"> </w:t>
      </w:r>
      <w:r>
        <w:t xml:space="preserve">usage</w:t>
      </w:r>
      <w:r>
        <w:t xml:space="preserve"> </w:t>
      </w:r>
      <w:r>
        <w:t xml:space="preserve">limitations</w:t>
      </w:r>
      <w:r>
        <w:t xml:space="preserve"> </w:t>
      </w:r>
      <w:r>
        <w:t xml:space="preserve">in</w:t>
      </w:r>
      <w:r>
        <w:t xml:space="preserve"> </w:t>
      </w:r>
      <w:r>
        <w:t xml:space="preserve">some</w:t>
      </w:r>
      <w:r>
        <w:t xml:space="preserve"> </w:t>
      </w:r>
      <w:r>
        <w:t xml:space="preserve">users.</w:t>
      </w:r>
      <w:r>
        <w:t xml:space="preserve"> </w:t>
      </w:r>
      <w:r>
        <w:t xml:space="preserve">The</w:t>
      </w:r>
      <w:r>
        <w:t xml:space="preserve"> </w:t>
      </w:r>
      <w:r>
        <w:t xml:space="preserve">CEPEH</w:t>
      </w:r>
      <w:r>
        <w:t xml:space="preserve"> </w:t>
      </w:r>
      <w:r>
        <w:t xml:space="preserve">team</w:t>
      </w:r>
      <w:r>
        <w:t xml:space="preserve"> </w:t>
      </w:r>
      <w:r>
        <w:t xml:space="preserve">concluded</w:t>
      </w:r>
      <w:r>
        <w:t xml:space="preserve"> </w:t>
      </w:r>
      <w:r>
        <w:t xml:space="preserve">that</w:t>
      </w:r>
      <w:r>
        <w:t xml:space="preserve"> </w:t>
      </w:r>
      <w:r>
        <w:t xml:space="preserve">the</w:t>
      </w:r>
      <w:r>
        <w:t xml:space="preserve"> </w:t>
      </w:r>
      <w:r>
        <w:t xml:space="preserve">processes,</w:t>
      </w:r>
      <w:r>
        <w:t xml:space="preserve"> </w:t>
      </w:r>
      <w:r>
        <w:t xml:space="preserve">frameworks,</w:t>
      </w:r>
      <w:r>
        <w:t xml:space="preserve"> </w:t>
      </w:r>
      <w:r>
        <w:t xml:space="preserve">development</w:t>
      </w:r>
      <w:r>
        <w:t xml:space="preserve"> </w:t>
      </w:r>
      <w:r>
        <w:t xml:space="preserve">tools,</w:t>
      </w:r>
      <w:r>
        <w:t xml:space="preserve"> </w:t>
      </w:r>
      <w:r>
        <w:t xml:space="preserve">and</w:t>
      </w:r>
      <w:r>
        <w:t xml:space="preserve"> </w:t>
      </w:r>
      <w:r>
        <w:t xml:space="preserve">evaluation</w:t>
      </w:r>
      <w:r>
        <w:t xml:space="preserve"> </w:t>
      </w:r>
      <w:r>
        <w:t xml:space="preserve">metrics</w:t>
      </w:r>
      <w:r>
        <w:t xml:space="preserve"> </w:t>
      </w:r>
      <w:r>
        <w:t xml:space="preserve">can</w:t>
      </w:r>
      <w:r>
        <w:t xml:space="preserve"> </w:t>
      </w:r>
      <w:r>
        <w:t xml:space="preserve">improve</w:t>
      </w:r>
      <w:r>
        <w:t xml:space="preserve"> </w:t>
      </w:r>
      <w:r>
        <w:t xml:space="preserve">and</w:t>
      </w:r>
      <w:r>
        <w:t xml:space="preserve"> </w:t>
      </w:r>
      <w:r>
        <w:t xml:space="preserve">encourage</w:t>
      </w:r>
      <w:r>
        <w:t xml:space="preserve"> </w:t>
      </w:r>
      <w:r>
        <w:t xml:space="preserve">researchers,</w:t>
      </w:r>
      <w:r>
        <w:t xml:space="preserve"> </w:t>
      </w:r>
      <w:r>
        <w:t xml:space="preserve">learning</w:t>
      </w:r>
      <w:r>
        <w:t xml:space="preserve"> </w:t>
      </w:r>
      <w:r>
        <w:t xml:space="preserve">technologists,</w:t>
      </w:r>
      <w:r>
        <w:t xml:space="preserve"> </w:t>
      </w:r>
      <w:r>
        <w:t xml:space="preserve">educators,</w:t>
      </w:r>
      <w:r>
        <w:t xml:space="preserve"> </w:t>
      </w:r>
      <w:r>
        <w:t xml:space="preserve">and</w:t>
      </w:r>
      <w:r>
        <w:t xml:space="preserve"> </w:t>
      </w:r>
      <w:r>
        <w:t xml:space="preserve">students</w:t>
      </w:r>
      <w:r>
        <w:t xml:space="preserve"> </w:t>
      </w:r>
      <w:r>
        <w:t xml:space="preserve">to</w:t>
      </w:r>
      <w:r>
        <w:t xml:space="preserve"> </w:t>
      </w:r>
      <w:r>
        <w:t xml:space="preserve">produce</w:t>
      </w:r>
      <w:r>
        <w:t xml:space="preserve"> </w:t>
      </w:r>
      <w:r>
        <w:t xml:space="preserve">similar</w:t>
      </w:r>
      <w:r>
        <w:t xml:space="preserve"> </w:t>
      </w:r>
      <w:r>
        <w:t xml:space="preserve">supportive,</w:t>
      </w:r>
      <w:r>
        <w:t xml:space="preserve"> </w:t>
      </w:r>
      <w:r>
        <w:t xml:space="preserve">intuitive,</w:t>
      </w:r>
      <w:r>
        <w:t xml:space="preserve"> </w:t>
      </w:r>
      <w:r>
        <w:t xml:space="preserve">accessible,</w:t>
      </w:r>
      <w:r>
        <w:t xml:space="preserve"> </w:t>
      </w:r>
      <w:r>
        <w:t xml:space="preserve">and</w:t>
      </w:r>
      <w:r>
        <w:t xml:space="preserve"> </w:t>
      </w:r>
      <w:r>
        <w:t xml:space="preserve">easily</w:t>
      </w:r>
      <w:r>
        <w:t xml:space="preserve"> </w:t>
      </w:r>
      <w:r>
        <w:t xml:space="preserve">sustainable</w:t>
      </w:r>
      <w:r>
        <w:t xml:space="preserve"> </w:t>
      </w:r>
      <w:r>
        <w:t xml:space="preserve">learning</w:t>
      </w:r>
      <w:r>
        <w:t xml:space="preserve"> </w:t>
      </w:r>
      <w:r>
        <w:t xml:space="preserve">resources.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 There is growing evidence around chatbots, namely machine conversation systems- these programs have the potential to change the way students learn and search for information.</w:t>
      </w:r>
      <w:r>
        <w:t xml:space="preserve"> </w:t>
      </w:r>
      <w:r>
        <w:t xml:space="preserve">Chatbots can quiz existing knowledge, enable higher student engagement with a learning task, or support higher-order cognitive activities. In large-scale learning scenarios with a high student-to-lecturer ratio, chatbots can help tackle the issue of individualized student support and facilitate personalized learning. However, limited examples of chatbots in European Healthcare Curricula have been utilized to combine both the continuum of cognitive processes presented in Bloom’s taxonomy, with the idea that some repetitive tasks can be done with a chatbot- to provide greater access or to scale faculty time.</w:t>
      </w:r>
      <w:r>
        <w:t xml:space="preserve"> </w:t>
      </w:r>
      <w:r>
        <w:t xml:space="preserve">Thus, CEPEH strategic partnership has co-created open-access chatbots utilizing artiﬁcial intelligence, promoting innovative practices in the digital era, by supporting current curricula and fostering open education.</w:t>
      </w:r>
      <w:r>
        <w:br/>
      </w:r>
    </w:p>
    <w:p>
      <w:pPr>
        <w:pStyle w:val="BodyText"/>
      </w:pPr>
      <w:r>
        <w:t xml:space="preserve">CEPEH Erasmus+ strategic partnership aimed to co-design and implement new pedagogical approaches and, in particular, chatbots for European medical and nursing schools. CEPEH used participatory design to engage stakeholders (students, healthcare workforce staﬀ, lecturers, clinicians, etc.) in order to co-design eﬀective chatbots and release them as open access resources. Through CEPEH, effective use of digital technologies and open education were incorporated into healthcare curricula. This enabled students to increase their health and medical related skills through ﬂexible learning.</w:t>
      </w:r>
      <w:r>
        <w:t xml:space="preserve"> </w:t>
      </w:r>
    </w:p>
    <w:p>
      <w:pPr>
        <w:pStyle w:val="BodyText"/>
      </w:pPr>
      <w:r>
        <w:t xml:space="preserve">CEPEH expected that students adopted this new digital pedagogy and improve their skills and competences through ﬂexible personalized learning, while the teaching staﬀ enhanced e-learning co-creation competences and make use of co-design best practices and recommendations for use. It was also expected that increased cooperation between the partners would occur. Thus, in the long term, CEPEH expects to inﬂuence the development of medical and nursing curricula with this digital innovation, foster the quality of the future healthcare workforce and further improve international competitiveness of the partners’ healthcare curricula. This document details the evaluation of the resources created by the CEPEH team.</w:t>
      </w:r>
      <w:r>
        <w:t xml:space="preserve"> </w:t>
      </w:r>
      <w:r>
        <w:t xml:space="preserve">The evaluation speciﬁcally explored the feasibility and acceptance from the end-users. These end-users are learners in European healthcare higher education institutions.</w:t>
      </w:r>
    </w:p>
    <w:p>
      <w:pPr>
        <w:pStyle w:val="BodyText"/>
      </w:pPr>
      <w:r>
        <w:t xml:space="preserve">There was ﬁrstly evidence for the need to identify the feasibility of chatbots and similar resources into formal education and training, with a further need to improve access to these types of learning resources. Of course, studies exist on the acceptance of chatbots, virtual patients, and many other healthcare applications, with promising results. However, through various limitations, we believed there was further research to be completed to accelerate the design, development, implementation, and evaluation processes. These have ﬁnancial, stakeholder, time, and eﬃcacy beneﬁts. The creation process of CEPEH resources was signiﬁcantly diﬀerent to most in the literature, and this report highlights the approach of the CEPEH team towards enhancing personalized healthcare education.</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 The process normally begins with workshops in which the project is scoped, and team building occurs. The CEPEH workshops involve the widest possible team of stakeholders including tutors, students, healthcare workers, learning technologists, health service users and carers- depending on the materials being created. For readers who are interested in using these high quality digital resources please access them for free at CEPEH.EU. 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9"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 For each resource created by partners, students performed a study within an online or face-to-face workshop. Student participants joined from Greece, Cyprus, Sweden, and the United Kingdom. A repeated measures design was used as the same group measures were taken before and after usage of the chatbots. They were recruited via staﬀ members in the CEPEH group.</w:t>
      </w:r>
    </w:p>
    <w:p>
      <w:pPr>
        <w:pStyle w:val="BodyText"/>
      </w:pPr>
      <w:r>
        <w:t xml:space="preserve">Participants were asked prior to the study if they agree to participate, providing them with a PIS form. Participants had the opportunity to discuss with the research team prior to the study and before consent is given. Then, participants used the chatbot resources independently and technical support was provided. Finally, post-intervention measures were recorded. Some of the participants were invited to participate in Focus Group Discussions (FGD), and each FGD lasted between 15 to 25 minutes, with 5-10 participants. Participants were asked if they would like to be informed of the ﬁndings of the study.</w:t>
      </w:r>
    </w:p>
    <w:p>
      <w:pPr>
        <w:pStyle w:val="BodyText"/>
      </w:pPr>
      <w:r>
        <w:drawing>
          <wp:inline>
            <wp:extent cx="5270500" cy="5524500"/>
            <wp:effectExtent b="0" l="0" r="0" t="0"/>
            <wp:docPr descr="" title="" id="27" name="Picture"/>
            <a:graphic>
              <a:graphicData uri="http://schemas.openxmlformats.org/drawingml/2006/picture">
                <pic:pic>
                  <pic:nvPicPr>
                    <pic:cNvPr descr="untitled-1.png" id="28" name="Picture"/>
                    <pic:cNvPicPr>
                      <a:picLocks noChangeArrowheads="1" noChangeAspect="1"/>
                    </pic:cNvPicPr>
                  </pic:nvPicPr>
                  <pic:blipFill>
                    <a:blip r:embed="rId26"/>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29"/>
    <w:bookmarkStart w:id="30"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 Their institution was captured (Aristotle University of Thessaloniki, CYENS Centre of Excellent, Karolinska Institute, and The University of Nottingham), and Sex (Male/Female/Other). Before any interaction with the learning resources, various perceptions of chatbot such as confidence and ease of use, usefulness, Influence from others, and current learning resources (videos, textbooks, Google, friends etc.) were captured. Descriptive data was produced alongside repeated measures t-tests and Wilcoxon signed rank test. Repeated measures paired sample t-tests were the appropriate test to use as this explores differences between groups, there were no covariates and we did not have several dependant variables. There was one Independent factor being Chatbot use, with 2 levels (pre/post).</w:t>
      </w:r>
    </w:p>
    <w:bookmarkEnd w:id="30"/>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31"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questions from multiple measures can help internal consistency and interpret the results more approporiately.</w:t>
      </w:r>
    </w:p>
    <w:bookmarkEnd w:id="31"/>
    <w:bookmarkStart w:id="32"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w:t>
      </w:r>
    </w:p>
    <w:p>
      <w:pPr>
        <w:pStyle w:val="BodyText"/>
      </w:pP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32"/>
    <w:bookmarkStart w:id="33"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important statements however and good indicators of usability when assessed with the other results.</w:t>
      </w:r>
    </w:p>
    <w:bookmarkEnd w:id="33"/>
    <w:bookmarkStart w:id="34"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4"/>
    <w:bookmarkStart w:id="35"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5"/>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data collection for research and provides end user insights regarding the penetration, usage, scope, and impact of a learning resource. Focus groups are a form of qualitative research consisting of interviews or structured discussions, in which a group of people are asked about their perceptions, opinions, beliefs, and attitudes towards the item of interest. Questions are asked in an interactive group setting where participants are free to talk with other group members. During this process, the researcher either takes notes or records the vital points he or she is getting from the group. Researchers select members of the focus group carefully for effective and authoritative responses.Relevant stakeholders then use the information collected through focus groups to receive insights for improvements [7].</w:t>
      </w:r>
    </w:p>
    <w:p>
      <w:pPr>
        <w:pStyle w:val="BodyText"/>
      </w:pPr>
      <w:r>
        <w:t xml:space="preserve">A series of short focus group sessions identified the feasibility of CEPEH resources for formal curricular integration. These sessions, spanning no more than 30 minutes each and consisting of no more than 5-7 persons, explored all axes of curricular integration such as accessibility in the classroom, use case scenarios, technology requirements for curricular integration etc. These axes were formalized by the research team, in each evaluation site, to consider the curricular details of each institution.</w:t>
      </w:r>
    </w:p>
    <w:bookmarkEnd w:id="36"/>
    <w:bookmarkEnd w:id="37"/>
    <w:bookmarkEnd w:id="38"/>
    <w:bookmarkStart w:id="99"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History-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The first boxplot (</w:t>
      </w:r>
      <w:r>
        <w:t xml:space="preserve">2.1</w:t>
      </w:r>
      <w:r>
        <w:t xml:space="preserve">) shows learners perceptions of ease of use of mobile app and other educational mobile resources</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 post-usage survey after each chatbot. Results after use are as followed:</w:t>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r>
        <w:t xml:space="preserve"> </w:t>
      </w:r>
    </w:p>
    <w:bookmarkEnd w:id="55"/>
    <w:bookmarkEnd w:id="56"/>
    <w:bookmarkStart w:id="57" w:name="system-usability-scale-sus-questions"/>
    <w:p>
      <w:pPr>
        <w:pStyle w:val="Heading2"/>
      </w:pPr>
      <w:r>
        <w:rPr>
          <w:rStyle w:val="SectionNumber"/>
        </w:rPr>
        <w:t xml:space="preserve">2.3</w:t>
      </w:r>
      <w:r>
        <w:tab/>
      </w:r>
      <w:r>
        <w:t xml:space="preserve">System Usability Scale (SUS) Questions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Pr>
      <w:r>
        <w:t xml:space="preserve">I would like to use the CEPEH chatbot I tested, more frequently</w:t>
      </w:r>
    </w:p>
    <w:p>
      <w:pPr>
        <w:numPr>
          <w:ilvl w:val="0"/>
          <w:numId w:val="1002"/>
        </w:numPr>
      </w:pPr>
      <w:r>
        <w:t xml:space="preserve">I felt confident using the CEPEH chatbot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w:t>
      </w:r>
      <w:r>
        <w:t xml:space="preserve"> </w:t>
      </w:r>
      <w:r>
        <w:t xml:space="preserve">??</w:t>
      </w:r>
      <w:r>
        <w:t xml:space="preserve"> </w:t>
      </w:r>
      <w:r>
        <w:t xml:space="preserve">above shows the results for agreement participants may</w:t>
      </w:r>
      <w:r>
        <w:t xml:space="preserve"> </w:t>
      </w:r>
      <w:r>
        <w:t xml:space="preserve">continue to use the CEPEH chatbots: 89/126 (70%) agreed or strongly agreed. However, there were 23 records that learners were neutral or 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Responses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 are confident in using the chatbots. However, 21/126 (16%) were neutral and 11/126 (8.5%) disagreed and this was explored in the qualitative analysis section.</w:t>
      </w:r>
    </w:p>
    <w:bookmarkEnd w:id="57"/>
    <w:bookmarkStart w:id="65"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Ease of Use (PEU)</w:t>
      </w:r>
    </w:p>
    <w:p>
      <w:pPr>
        <w:pStyle w:val="BodyText"/>
      </w:pPr>
      <w:r>
        <w:t xml:space="preserve">The questions were-</w:t>
      </w:r>
    </w:p>
    <w:p>
      <w:pPr>
        <w:pStyle w:val="BodyText"/>
      </w:pPr>
      <w:r>
        <w:t xml:space="preserve">Perceived Usefulness (PU):</w:t>
      </w:r>
      <w:r>
        <w:t xml:space="preserve"> </w:t>
      </w:r>
      <w:r>
        <w:t xml:space="preserve">1. Using CEPEH chatbots would enable me to accomplish tasks more</w:t>
      </w:r>
      <w:r>
        <w:t xml:space="preserve"> </w:t>
      </w:r>
      <w:r>
        <w:t xml:space="preserve">quickly</w:t>
      </w:r>
      <w:r>
        <w:t xml:space="preserve"> </w:t>
      </w:r>
      <w:r>
        <w:t xml:space="preserve">2. Using CEPEH chatbots would increase performance</w:t>
      </w:r>
      <w:r>
        <w:t xml:space="preserve"> </w:t>
      </w:r>
      <w:r>
        <w:t xml:space="preserve">3. Using CEPEH chatbots would increase my productivity</w:t>
      </w:r>
      <w:r>
        <w:t xml:space="preserve"> </w:t>
      </w:r>
      <w:r>
        <w:t xml:space="preserve">4. I would find CEPEH chatbots useful on my course</w:t>
      </w:r>
    </w:p>
    <w:p>
      <w:pPr>
        <w:pStyle w:val="BodyText"/>
      </w:pPr>
      <w:r>
        <w:t xml:space="preserve">Perceived Ease of Use (PEU):</w:t>
      </w:r>
      <w:r>
        <w:t xml:space="preserve"> </w:t>
      </w:r>
      <w:r>
        <w:t xml:space="preserve">5. Learning to use CEPEH chatbots would be easy to me</w:t>
      </w:r>
      <w:r>
        <w:t xml:space="preserve"> </w:t>
      </w:r>
      <w:r>
        <w:t xml:space="preserve">6. It would be easy for me to be skilful at using CEPEH chatbots</w:t>
      </w:r>
      <w:r>
        <w:t xml:space="preserve"> </w:t>
      </w:r>
      <w:r>
        <w:t xml:space="preserve">7. My interactions with CEPEH chatbots would be clear and understandable</w:t>
      </w:r>
      <w:r>
        <w:t xml:space="preserve"> </w:t>
      </w:r>
      <w:r>
        <w:t xml:space="preserve">8. I would find CEPEH chatbots easy to use</w:t>
      </w:r>
    </w:p>
    <w:p>
      <w:pPr>
        <w:pStyle w:val="BodyText"/>
      </w:pPr>
      <w:r>
        <w:t xml:space="preserve">The scores as a percentage of agreement, were calculated by averaging the subsets and interpreted as:</w:t>
      </w:r>
    </w:p>
    <w:p>
      <w:pPr>
        <w:numPr>
          <w:ilvl w:val="0"/>
          <w:numId w:val="1003"/>
        </w:numPr>
      </w:pPr>
      <w:r>
        <w:t xml:space="preserve">Before using the CEPEH chatbots, there was 66% (2.2/5) agreement for the Perceived Usefulness of chatbots in healthcare education, and after 48% (2.6/5) agreed.</w:t>
      </w:r>
    </w:p>
    <w:p>
      <w:pPr>
        <w:numPr>
          <w:ilvl w:val="0"/>
          <w:numId w:val="1003"/>
        </w:numPr>
      </w:pPr>
      <w:r>
        <w:t xml:space="preserve">Before using the CEPEH chatbots, there was 64% (2.3) agreement for Perceived Ease of Use of chatbots in healthcare education, and after 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4"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 The ﬁgure 2.6 shows the ratings by participants of the CEPEH Chatbots to provide them with the necessary course information.</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p>
    <w:p>
      <w:pPr>
        <w:pStyle w:val="CaptionedFigure"/>
      </w:pP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trust)Trust Chatbots POST use</w:t>
      </w:r>
    </w:p>
    <w:p>
      <w:pPr>
        <w:pStyle w:val="BodyText"/>
      </w:pPr>
      <w:r>
        <w:t xml:space="preserve">This is a integral element in learners’ motivational and educational choices to reuse the learning resources. As previously described, the trust of the information is also a factor in these responses.</w:t>
      </w:r>
    </w:p>
    <w:bookmarkEnd w:id="64"/>
    <w:bookmarkEnd w:id="65"/>
    <w:bookmarkStart w:id="90" w:name="personality-and-interactions"/>
    <w:p>
      <w:pPr>
        <w:pStyle w:val="Heading2"/>
      </w:pPr>
      <w:r>
        <w:rPr>
          <w:rStyle w:val="SectionNumber"/>
        </w:rPr>
        <w:t xml:space="preserve">2.5</w:t>
      </w:r>
      <w:r>
        <w:tab/>
      </w:r>
      <w:r>
        <w:t xml:space="preserve">Personality and Interactions</w:t>
      </w:r>
    </w:p>
    <w:p>
      <w:pPr>
        <w:pStyle w:val="FirstParagraph"/>
      </w:pPr>
      <w:r>
        <w:drawing>
          <wp:inline>
            <wp:extent cx="4620126" cy="3696101"/>
            <wp:effectExtent b="0" l="0" r="0" t="0"/>
            <wp:docPr descr="" title="" id="67" name="Picture"/>
            <a:graphic>
              <a:graphicData uri="http://schemas.openxmlformats.org/drawingml/2006/picture">
                <pic:pic>
                  <pic:nvPicPr>
                    <pic:cNvPr descr="_main_files/figure-docx/Boxplotsplits8-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20personality-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 (See Figure x). This was</w:t>
      </w:r>
      <w:r>
        <w:t xml:space="preserve"> </w:t>
      </w:r>
      <w:r>
        <w:t xml:space="preserve">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Start w:id="89" w:name="ease-of-use-and-seeking-support"/>
    <w:p>
      <w:pPr>
        <w:pStyle w:val="Heading3"/>
      </w:pPr>
      <w:r>
        <w:rPr>
          <w:rStyle w:val="SectionNumber"/>
        </w:rPr>
        <w:t xml:space="preserve">2.5.1</w:t>
      </w:r>
      <w:r>
        <w:tab/>
      </w:r>
      <w:r>
        <w:t xml:space="preserve">Ease of Use and Seeking Support</w:t>
      </w:r>
    </w:p>
    <w:p>
      <w:pPr>
        <w:pStyle w:val="CaptionedFigure"/>
      </w:pPr>
      <w:r>
        <w:drawing>
          <wp:inline>
            <wp:extent cx="4620126" cy="3696101"/>
            <wp:effectExtent b="0" l="0" r="0" t="0"/>
            <wp:docPr descr="Figure 2.5: Ease of Use Comparison" title="" id="73" name="Picture"/>
            <a:graphic>
              <a:graphicData uri="http://schemas.openxmlformats.org/drawingml/2006/picture">
                <pic:pic>
                  <pic:nvPicPr>
                    <pic:cNvPr descr="_main_files/figure-docx/Boxplotsplits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6" name="Picture"/>
            <a:graphic>
              <a:graphicData uri="http://schemas.openxmlformats.org/drawingml/2006/picture">
                <pic:pic>
                  <pic:nvPicPr>
                    <pic:cNvPr descr="_main_files/figure-docx/Boxplotsplits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p>
      <w:pPr>
        <w:pStyle w:val="CaptionedFigure"/>
      </w:pPr>
      <w:r>
        <w:drawing>
          <wp:inline>
            <wp:extent cx="4876800" cy="4876800"/>
            <wp:effectExtent b="0" l="0" r="0" t="0"/>
            <wp:docPr descr="Figure 2.7: Pre-post accomplish quickly" title="" id="79" name="Picture"/>
            <a:graphic>
              <a:graphicData uri="http://schemas.openxmlformats.org/drawingml/2006/picture">
                <pic:pic>
                  <pic:nvPicPr>
                    <pic:cNvPr descr="clear.png" id="80" name="Picture"/>
                    <pic:cNvPicPr>
                      <a:picLocks noChangeArrowheads="1" noChangeAspect="1"/>
                    </pic:cNvPicPr>
                  </pic:nvPicPr>
                  <pic:blipFill>
                    <a:blip r:embed="rId78"/>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2.7: Pre-post accomplish quickly</w:t>
      </w:r>
    </w:p>
    <w:p>
      <w:pPr>
        <w:pStyle w:val="CaptionedFigure"/>
      </w:pPr>
      <w:r>
        <w:drawing>
          <wp:inline>
            <wp:extent cx="5334000" cy="1346363"/>
            <wp:effectExtent b="0" l="0" r="0" t="0"/>
            <wp:docPr descr="Figure 2.8: Table of T-test results" title="" id="82" name="Picture"/>
            <a:graphic>
              <a:graphicData uri="http://schemas.openxmlformats.org/drawingml/2006/picture">
                <pic:pic>
                  <pic:nvPicPr>
                    <pic:cNvPr descr="table%20ttest.png" id="83" name="Picture"/>
                    <pic:cNvPicPr>
                      <a:picLocks noChangeArrowheads="1" noChangeAspect="1"/>
                    </pic:cNvPicPr>
                  </pic:nvPicPr>
                  <pic:blipFill>
                    <a:blip r:embed="rId81"/>
                    <a:stretch>
                      <a:fillRect/>
                    </a:stretch>
                  </pic:blipFill>
                  <pic:spPr bwMode="auto">
                    <a:xfrm>
                      <a:off x="0" y="0"/>
                      <a:ext cx="5334000" cy="1346363"/>
                    </a:xfrm>
                    <a:prstGeom prst="rect">
                      <a:avLst/>
                    </a:prstGeom>
                    <a:noFill/>
                    <a:ln w="9525">
                      <a:noFill/>
                      <a:headEnd/>
                      <a:tailEnd/>
                    </a:ln>
                  </pic:spPr>
                </pic:pic>
              </a:graphicData>
            </a:graphic>
          </wp:inline>
        </w:drawing>
      </w:r>
    </w:p>
    <w:p>
      <w:pPr>
        <w:pStyle w:val="ImageCaption"/>
      </w:pPr>
      <w:r>
        <w:t xml:space="preserve">Figure 2.8: Table of T-test results</w:t>
      </w:r>
    </w:p>
    <w:p>
      <w:pPr>
        <w:pStyle w:val="CaptionedFigure"/>
      </w:pPr>
      <w:r>
        <w:drawing>
          <wp:inline>
            <wp:extent cx="4876800" cy="4876800"/>
            <wp:effectExtent b="0" l="0" r="0" t="0"/>
            <wp:docPr descr="Figure 2.9: pre-post clear" title="" id="84" name="Picture"/>
            <a:graphic>
              <a:graphicData uri="http://schemas.openxmlformats.org/drawingml/2006/picture">
                <pic:pic>
                  <pic:nvPicPr>
                    <pic:cNvPr descr="clear.png" id="85" name="Picture"/>
                    <pic:cNvPicPr>
                      <a:picLocks noChangeArrowheads="1" noChangeAspect="1"/>
                    </pic:cNvPicPr>
                  </pic:nvPicPr>
                  <pic:blipFill>
                    <a:blip r:embed="rId78"/>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Figure 2.9: pre-post clear</w:t>
      </w:r>
    </w:p>
    <w:p>
      <w:pPr>
        <w:pStyle w:val="BodyText"/>
      </w:pPr>
      <w:r>
        <w:drawing>
          <wp:inline>
            <wp:extent cx="5334000" cy="5813623"/>
            <wp:effectExtent b="0" l="0" r="0" t="0"/>
            <wp:docPr descr="Figure 2.10: Table of Results" title="" id="87" name="Picture"/>
            <a:graphic>
              <a:graphicData uri="http://schemas.openxmlformats.org/drawingml/2006/picture">
                <pic:pic>
                  <pic:nvPicPr>
                    <pic:cNvPr descr="bigtable.png" id="88" name="Picture"/>
                    <pic:cNvPicPr>
                      <a:picLocks noChangeArrowheads="1" noChangeAspect="1"/>
                    </pic:cNvPicPr>
                  </pic:nvPicPr>
                  <pic:blipFill>
                    <a:blip r:embed="rId86"/>
                    <a:stretch>
                      <a:fillRect/>
                    </a:stretch>
                  </pic:blipFill>
                  <pic:spPr bwMode="auto">
                    <a:xfrm>
                      <a:off x="0" y="0"/>
                      <a:ext cx="5334000" cy="5813623"/>
                    </a:xfrm>
                    <a:prstGeom prst="rect">
                      <a:avLst/>
                    </a:prstGeom>
                    <a:noFill/>
                    <a:ln w="9525">
                      <a:noFill/>
                      <a:headEnd/>
                      <a:tailEnd/>
                    </a:ln>
                  </pic:spPr>
                </pic:pic>
              </a:graphicData>
            </a:graphic>
          </wp:inline>
        </w:drawing>
      </w:r>
      <w:r>
        <w:t xml:space="preserve"> </w:t>
      </w:r>
      <w:r>
        <w:t xml:space="preserve">This rather large table presents all of the descriptive statistic measures AFTER chatbot usage. The Mode is important to show that the majority of participants stated their perceptions, experience, and acceptance increased.</w:t>
      </w:r>
    </w:p>
    <w:bookmarkEnd w:id="89"/>
    <w:bookmarkEnd w:id="90"/>
    <w:bookmarkStart w:id="98" w:name="inferential-statistics"/>
    <w:p>
      <w:pPr>
        <w:pStyle w:val="Heading2"/>
      </w:pPr>
      <w:r>
        <w:rPr>
          <w:rStyle w:val="SectionNumber"/>
        </w:rPr>
        <w:t xml:space="preserve">2.6</w:t>
      </w:r>
      <w:r>
        <w:tab/>
      </w:r>
      <w:r>
        <w:t xml:space="preserve">Inferential Statistics</w:t>
      </w:r>
    </w:p>
    <w:p>
      <w:pPr>
        <w:pStyle w:val="FirstParagraph"/>
      </w:pPr>
      <w:r>
        <w:t xml:space="preserve">Paired t-test involves matching the same participants on a variable before intervention with, ideally, the equal measure of variable after intervention. For this study, we used several metrics from the various questionnaires to facilitate pre-post comparisons. The CUQ was only asked after chatbot usage, however most other questions were able to have a pre-post comparison.</w:t>
      </w:r>
    </w:p>
    <w:p>
      <w:pPr>
        <w:pStyle w:val="BodyText"/>
      </w:pPr>
      <w:r>
        <w:t xml:space="preserve">Importantly, there is value in the modes which indicate majority consensus, rather than mean driven t-tests. Being an initial single session with technical orientation for Users as well as practical usage, there is high change that a minority will experience technical or functional problems. Although the majority may benefit, the measures from this minority can significantly impact the measures. For example, if a sample of 42 have the results 5/5 (27), 4/5 (11), and 1/5 (5), the mode and median are 5 however the mean is 4.38. This can affect parametric or non-parametric results that infer equal experience from participant. We are not overlooking participants but factoring in their experiences as a minority and assessing their results in other ways- i.e., the focus group discussions. This better reflects each participants experience and the accuracy of efficacy of the chatbots.</w:t>
      </w:r>
      <w:r>
        <w:t xml:space="preserve"> </w:t>
      </w:r>
      <w:r>
        <w:t xml:space="preserve">Because of the experimental set-up and the 4 different chatbots, the meaning of the t-tests has small power and effect size. We intended for all metrics to improve, but to have significant findings with the setup does not provide much more information in addition to increased means/scores. We performed paired t-tests, however many paired samples had significant Shapiro-Wilk results indicating the normality assumption were violated. The test is robust to violations, and the same participants are being tested over Time, rather than different participants. This also indicated that the meaning of the Wilcoxon has limited strength.</w:t>
      </w:r>
    </w:p>
    <w:bookmarkStart w:id="97" w:name="X0d814df83322653f3c4a81f8a22397c8a22cd68"/>
    <w:p>
      <w:pPr>
        <w:pStyle w:val="Heading3"/>
      </w:pPr>
      <w:r>
        <w:rPr>
          <w:rStyle w:val="SectionNumber"/>
        </w:rPr>
        <w:t xml:space="preserve">2.6.1</w:t>
      </w:r>
      <w:r>
        <w:tab/>
      </w:r>
      <w:r>
        <w:t xml:space="preserve">Paired sample t-test and Wilcoxon signed rank test</w:t>
      </w:r>
    </w:p>
    <w:p>
      <w:pPr>
        <w:pStyle w:val="FirstParagraph"/>
      </w:pPr>
      <w:r>
        <w:t xml:space="preserve">Two-tailed paired t-tests were conducted to examine whether the mean difference is of the following groups were significantly different:</w:t>
      </w:r>
    </w:p>
    <w:p>
      <w:pPr>
        <w:pStyle w:val="BodyText"/>
      </w:pPr>
      <w:r>
        <w:t xml:space="preserve">• Confidence</w:t>
      </w:r>
      <w:r>
        <w:t xml:space="preserve"> </w:t>
      </w:r>
      <w:r>
        <w:t xml:space="preserve">• Daily usefulness</w:t>
      </w:r>
      <w:r>
        <w:t xml:space="preserve"> </w:t>
      </w:r>
      <w:r>
        <w:t xml:space="preserve">• Increasing achievements</w:t>
      </w:r>
      <w:r>
        <w:t xml:space="preserve"> </w:t>
      </w:r>
      <w:r>
        <w:t xml:space="preserve">• Accomplishing things quickly</w:t>
      </w:r>
      <w:r>
        <w:t xml:space="preserve"> </w:t>
      </w:r>
      <w:r>
        <w:t xml:space="preserve">• Increased productivity</w:t>
      </w:r>
      <w:r>
        <w:t xml:space="preserve"> </w:t>
      </w:r>
      <w:r>
        <w:t xml:space="preserve">• Ease of use</w:t>
      </w:r>
      <w:r>
        <w:t xml:space="preserve"> </w:t>
      </w:r>
      <w:r>
        <w:t xml:space="preserve">• Clear and understandable interactions</w:t>
      </w:r>
      <w:r>
        <w:t xml:space="preserve"> </w:t>
      </w:r>
      <w:r>
        <w:t xml:space="preserve">• Use chatbots more frequently</w:t>
      </w:r>
    </w:p>
    <w:p>
      <w:pPr>
        <w:pStyle w:val="BodyText"/>
      </w:pPr>
      <w:r>
        <w:t xml:space="preserve">The results showed there were no significant differences in these comparisons. For each comparison the results were:</w:t>
      </w:r>
    </w:p>
    <w:p>
      <w:pPr>
        <w:pStyle w:val="BodyText"/>
      </w:pPr>
      <w:r>
        <w:t xml:space="preserve">• Confidence- t(24) = -0.35, p = .731 (prem=1.96, postm=2.04)</w:t>
      </w:r>
    </w:p>
    <w:p>
      <w:pPr>
        <w:pStyle w:val="BodyText"/>
      </w:pPr>
      <w:r>
        <w:t xml:space="preserve">• Daily usefulness- V = 48.50, z = -0.27, p = .790 (prem=2.04, postm=2.12)</w:t>
      </w:r>
    </w:p>
    <w:p>
      <w:pPr>
        <w:pStyle w:val="BodyText"/>
      </w:pPr>
      <w:r>
        <w:t xml:space="preserve">• Increasing achievements- t(24) = -0.18, p = .857 (prem=2.28, postm=2.32)</w:t>
      </w:r>
    </w:p>
    <w:p>
      <w:pPr>
        <w:pStyle w:val="BodyText"/>
      </w:pPr>
      <w:r>
        <w:t xml:space="preserve">• Accomplish tasks quickly- V = 36.00, z = -0.25, p = .805 (prem=2.12, postm=2.16)</w:t>
      </w:r>
    </w:p>
    <w:p>
      <w:pPr>
        <w:pStyle w:val="BodyText"/>
      </w:pPr>
      <w:r>
        <w:t xml:space="preserve">• Increased productivity- V = 96.00, z = -1.51, p = .131 (prem=2.6, postm=2.24)</w:t>
      </w:r>
    </w:p>
    <w:p>
      <w:pPr>
        <w:pStyle w:val="BodyText"/>
      </w:pPr>
      <w:r>
        <w:t xml:space="preserve">• Ease of use- V = 72.00, z = -1.32, p = .186 (prem=2.36, postm=2.12)</w:t>
      </w:r>
    </w:p>
    <w:p>
      <w:pPr>
        <w:pStyle w:val="BodyText"/>
      </w:pPr>
      <w:r>
        <w:t xml:space="preserve">• Clear and understandable interactions- V = 101.50, z = -1.82, p = .068 (prem=2.2, postm=2.61)</w:t>
      </w:r>
    </w:p>
    <w:p>
      <w:pPr>
        <w:pStyle w:val="BodyText"/>
      </w:pPr>
      <w:r>
        <w:t xml:space="preserve">• Use chatbots more frequently- t(24) = 0.45, p = .657 (prem=2.2, postm=2.08)</w:t>
      </w:r>
    </w:p>
    <w:p>
      <w:pPr>
        <w:pStyle w:val="BodyText"/>
      </w:pPr>
      <w:r>
        <w:t xml:space="preserve">As predicted, the sensitivity of the t-test meant Wilcoxon test was more appropriate for some measures. The results show minor increases in means for some, but minor decreases in others. These results have high standard deviations which are from a minority of participants scoring low, and explored in the focus group discussions.</w:t>
      </w:r>
    </w:p>
    <w:p>
      <w:pPr>
        <w:pStyle w:val="BodyText"/>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2.11</w:t>
      </w:r>
      <w:r>
        <w:t xml:space="preserve">).</w:t>
      </w:r>
    </w:p>
    <w:p>
      <w:pPr>
        <w:pStyle w:val="CaptionedFigure"/>
      </w:pPr>
      <w:r>
        <w:drawing>
          <wp:inline>
            <wp:extent cx="4620126" cy="3696101"/>
            <wp:effectExtent b="0" l="0" r="0" t="0"/>
            <wp:docPr descr="Figure 2.11: Intend to Reuse-Post" title="" id="92" name="Picture"/>
            <a:graphic>
              <a:graphicData uri="http://schemas.openxmlformats.org/drawingml/2006/picture">
                <pic:pic>
                  <pic:nvPicPr>
                    <pic:cNvPr descr="_main_files/figure-docx/Boxplotsplits4-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2.11: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12: Easy to Use- Post" title="" id="95" name="Picture"/>
            <a:graphic>
              <a:graphicData uri="http://schemas.openxmlformats.org/drawingml/2006/picture">
                <pic:pic>
                  <pic:nvPicPr>
                    <pic:cNvPr descr="_main_files/figure-docx/Boxplotsplits3-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2.12: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r>
        <w:t xml:space="preserve"> </w:t>
      </w: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7"/>
    <w:bookmarkEnd w:id="98"/>
    <w:bookmarkEnd w:id="99"/>
    <w:bookmarkStart w:id="117"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101"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100"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100"/>
    <w:bookmarkEnd w:id="101"/>
    <w:bookmarkStart w:id="107" w:name="plotting-word-frequencies---bar-graphs"/>
    <w:p>
      <w:pPr>
        <w:pStyle w:val="Heading2"/>
      </w:pPr>
      <w:r>
        <w:rPr>
          <w:rStyle w:val="SectionNumber"/>
        </w:rPr>
        <w:t xml:space="preserve">3.2</w:t>
      </w:r>
      <w:r>
        <w:tab/>
      </w:r>
      <w:r>
        <w:t xml:space="preserve">Plotting word frequencies - bar graphs</w:t>
      </w:r>
    </w:p>
    <w:bookmarkStart w:id="102"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102"/>
    <w:bookmarkStart w:id="106"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104" name="Picture"/>
            <a:graphic>
              <a:graphicData uri="http://schemas.openxmlformats.org/drawingml/2006/picture">
                <pic:pic>
                  <pic:nvPicPr>
                    <pic:cNvPr descr="_main_files/figure-docx/CEPEH%20MOST%20FREQ-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6"/>
    <w:bookmarkEnd w:id="107"/>
    <w:bookmarkStart w:id="115"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9" name="Picture"/>
            <a:graphic>
              <a:graphicData uri="http://schemas.openxmlformats.org/drawingml/2006/picture">
                <pic:pic>
                  <pic:nvPicPr>
                    <pic:cNvPr descr="_main_files/figure-docx/unnamed-chunk-9-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14"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12" name="Picture"/>
            <a:graphic>
              <a:graphicData uri="http://schemas.openxmlformats.org/drawingml/2006/picture">
                <pic:pic>
                  <pic:nvPicPr>
                    <pic:cNvPr descr="_main_files/figure-docx/unnamed-chunk-11-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End w:id="115"/>
    <w:bookmarkStart w:id="116"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6"/>
    <w:bookmarkEnd w:id="117"/>
    <w:bookmarkStart w:id="129"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25" w:name="quantatative-results"/>
    <w:p>
      <w:pPr>
        <w:pStyle w:val="Heading2"/>
      </w:pPr>
      <w:r>
        <w:rPr>
          <w:rStyle w:val="SectionNumber"/>
        </w:rPr>
        <w:t xml:space="preserve">4.1</w:t>
      </w:r>
      <w:r>
        <w:tab/>
      </w:r>
      <w:r>
        <w:t xml:space="preserve">Quantatative Results</w:t>
      </w:r>
    </w:p>
    <w:bookmarkStart w:id="120" w:name="cuq"/>
    <w:p>
      <w:pPr>
        <w:pStyle w:val="Heading3"/>
      </w:pPr>
      <w:r>
        <w:rPr>
          <w:rStyle w:val="SectionNumber"/>
        </w:rPr>
        <w:t xml:space="preserve">4.1.1</w:t>
      </w:r>
      <w:r>
        <w:tab/>
      </w:r>
      <w:r>
        <w:t xml:space="preserve">CUQ</w:t>
      </w:r>
    </w:p>
    <w:p>
      <w:pPr>
        <w:pStyle w:val="FirstParagraph"/>
      </w:pPr>
      <w:r>
        <w:t xml:space="preserve">Holmes et al. [</w:t>
      </w:r>
      <w:hyperlink r:id="rId118">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19">
        <w:r>
          <w:rPr>
            <w:rStyle w:val="Hyperlink"/>
          </w:rPr>
          <w:t xml:space="preserve">Link</w:t>
        </w:r>
      </w:hyperlink>
      <w:r>
        <w:t xml:space="preserve"> </w:t>
      </w:r>
      <w:r>
        <w:t xml:space="preserve">found a physical activity promotion chatbot received 64.5/100, with lowest score at 40.6</w:t>
      </w:r>
    </w:p>
    <w:bookmarkEnd w:id="120"/>
    <w:bookmarkStart w:id="124" w:name="tam"/>
    <w:p>
      <w:pPr>
        <w:pStyle w:val="Heading3"/>
      </w:pPr>
      <w:r>
        <w:rPr>
          <w:rStyle w:val="SectionNumber"/>
        </w:rPr>
        <w:t xml:space="preserve">4.1.2</w:t>
      </w:r>
      <w:r>
        <w:tab/>
      </w:r>
      <w:r>
        <w:t xml:space="preserve">TAM</w:t>
      </w:r>
    </w:p>
    <w:p>
      <w:pPr>
        <w:pStyle w:val="CaptionedFigure"/>
      </w:pPr>
      <w:r>
        <w:drawing>
          <wp:inline>
            <wp:extent cx="3820043" cy="1239287"/>
            <wp:effectExtent b="0" l="0" r="0" t="0"/>
            <wp:docPr descr="Figure 4.1: TAM Model processes" title="" id="122" name="Picture"/>
            <a:graphic>
              <a:graphicData uri="http://schemas.openxmlformats.org/drawingml/2006/picture">
                <pic:pic>
                  <pic:nvPicPr>
                    <pic:cNvPr descr="tam1.png" id="123" name="Picture"/>
                    <pic:cNvPicPr>
                      <a:picLocks noChangeArrowheads="1" noChangeAspect="1"/>
                    </pic:cNvPicPr>
                  </pic:nvPicPr>
                  <pic:blipFill>
                    <a:blip r:embed="rId121"/>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24"/>
    <w:bookmarkEnd w:id="125"/>
    <w:bookmarkStart w:id="126" w:name="qualatative-results"/>
    <w:p>
      <w:pPr>
        <w:pStyle w:val="Heading2"/>
      </w:pPr>
      <w:r>
        <w:rPr>
          <w:rStyle w:val="SectionNumber"/>
        </w:rPr>
        <w:t xml:space="preserve">4.2</w:t>
      </w:r>
      <w:r>
        <w:tab/>
      </w:r>
      <w:r>
        <w:t xml:space="preserve">Qualatative Results</w:t>
      </w:r>
    </w:p>
    <w:bookmarkEnd w:id="126"/>
    <w:bookmarkStart w:id="127" w:name="limitations"/>
    <w:p>
      <w:pPr>
        <w:pStyle w:val="Heading2"/>
      </w:pPr>
      <w:r>
        <w:rPr>
          <w:rStyle w:val="SectionNumber"/>
        </w:rPr>
        <w:t xml:space="preserve">4.3</w:t>
      </w:r>
      <w:r>
        <w:tab/>
      </w:r>
      <w:r>
        <w:t xml:space="preserve">Limitations</w:t>
      </w:r>
    </w:p>
    <w:bookmarkEnd w:id="127"/>
    <w:bookmarkStart w:id="128" w:name="conclusions"/>
    <w:p>
      <w:pPr>
        <w:pStyle w:val="Heading2"/>
      </w:pPr>
      <w:r>
        <w:rPr>
          <w:rStyle w:val="SectionNumber"/>
        </w:rPr>
        <w:t xml:space="preserve">4.4</w:t>
      </w:r>
      <w:r>
        <w:tab/>
      </w:r>
      <w:r>
        <w:t xml:space="preserve">Conclusions</w:t>
      </w:r>
    </w:p>
    <w:p>
      <w:pPr>
        <w:pStyle w:val="FirstParagraph"/>
      </w:pPr>
      <w:r>
        <w:t xml:space="preserve">This document details the evaluation of 4 Chatbots created using the ASPIRE model for healthcare pedagogy. The feasibility and acceptance from the end-users were the focus, to understand future uptake,impact, etc. Identifying the feasibility of such resources into formal training is essential and studies have promising results when following structured design principals.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28"/>
    <w:bookmarkEnd w:id="129"/>
    <w:bookmarkStart w:id="133" w:name="cites-and-refs"/>
    <w:p>
      <w:pPr>
        <w:pStyle w:val="Heading1"/>
      </w:pPr>
      <w:r>
        <w:rPr>
          <w:rStyle w:val="SectionNumber"/>
        </w:rPr>
        <w:t xml:space="preserve">5</w:t>
      </w:r>
      <w:r>
        <w:tab/>
      </w:r>
      <w:r>
        <w:t xml:space="preserve">(Additional Analyses) Training Events</w:t>
      </w:r>
    </w:p>
    <w:p>
      <w:pPr>
        <w:pStyle w:val="FirstParagraph"/>
      </w:pPr>
    </w:p>
    <w:bookmarkStart w:id="130"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30"/>
    <w:bookmarkStart w:id="131"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31"/>
    <w:bookmarkStart w:id="132"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32"/>
    <w:bookmarkEnd w:id="133"/>
    <w:bookmarkStart w:id="134" w:name="appendix"/>
    <w:p>
      <w:pPr>
        <w:pStyle w:val="Heading1"/>
      </w:pPr>
      <w:r>
        <w:t xml:space="preserve">Appendix</w:t>
      </w:r>
    </w:p>
    <w:bookmarkEnd w:id="134"/>
    <w:bookmarkStart w:id="135" w:name="appendix-appendix"/>
    <w:p>
      <w:pPr>
        <w:pStyle w:val="Heading1"/>
      </w:pPr>
      <w:r>
        <w:t xml:space="preserve">(APPENDIX) Appendix</w:t>
      </w:r>
    </w:p>
    <w:bookmarkEnd w:id="135"/>
    <w:bookmarkStart w:id="13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6"/>
    <w:bookmarkStart w:id="138" w:name="references"/>
    <w:p>
      <w:pPr>
        <w:pStyle w:val="Heading1"/>
      </w:pPr>
      <w:r>
        <w:t xml:space="preserve">References</w:t>
      </w:r>
    </w:p>
    <w:bookmarkStart w:id="137" w:name="refs"/>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9" Target="media/rId69.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5" Target="media/rId75.png" /><Relationship Type="http://schemas.openxmlformats.org/officeDocument/2006/relationships/image" Id="rId39" Target="media/rId39.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103" Target="media/rId103.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11" Target="media/rId111.png" /><Relationship Type="http://schemas.openxmlformats.org/officeDocument/2006/relationships/image" Id="rId108" Target="media/rId108.png" /><Relationship Type="http://schemas.openxmlformats.org/officeDocument/2006/relationships/image" Id="rId86" Target="media/rId86.png" /><Relationship Type="http://schemas.openxmlformats.org/officeDocument/2006/relationships/image" Id="rId78" Target="media/rId78.png" /><Relationship Type="http://schemas.openxmlformats.org/officeDocument/2006/relationships/image" Id="rId49" Target="media/rId49.png" /><Relationship Type="http://schemas.openxmlformats.org/officeDocument/2006/relationships/image" Id="rId81" Target="media/rId81.png" /><Relationship Type="http://schemas.openxmlformats.org/officeDocument/2006/relationships/image" Id="rId121" Target="media/rId121.png" /><Relationship Type="http://schemas.openxmlformats.org/officeDocument/2006/relationships/image" Id="rId26" Target="media/rId26.png" /><Relationship Type="http://schemas.openxmlformats.org/officeDocument/2006/relationships/hyperlink" Id="rId47" Target="CUQ-Calculation-Tool.xlsx" TargetMode="External" /><Relationship Type="http://schemas.openxmlformats.org/officeDocument/2006/relationships/hyperlink" Id="rId119" Target="a%3C%20href=" TargetMode="External" /><Relationship Type="http://schemas.openxmlformats.org/officeDocument/2006/relationships/hyperlink" Id="rId48" Target="cuq.png" TargetMode="External" /><Relationship Type="http://schemas.openxmlformats.org/officeDocument/2006/relationships/hyperlink" Id="rId118"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19" Target="a%3C%20href=" TargetMode="External" /><Relationship Type="http://schemas.openxmlformats.org/officeDocument/2006/relationships/hyperlink" Id="rId48" Target="cuq.png" TargetMode="External" /><Relationship Type="http://schemas.openxmlformats.org/officeDocument/2006/relationships/hyperlink" Id="rId118"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2023-01-04T16:36:16Z</dcterms:created>
  <dcterms:modified xsi:type="dcterms:W3CDTF">2023-01-04T16:36:16Z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Healthcare education can be supported by machine learning conversation agents. However, there is rapid pace of technical development, complex subject areas in healthcare and sensitive design and development protocols which required expertise. With these issues, current outcomes have barriers in design, development, implementation, and in cases their evaluation. By utilizing a long-standing framework named the ASPIRE framework, the CEPEH team have reinvented parts of the process to streamline and dampen common problems. Stakeholder inclusion was facilitated by the ASPIRE process and the synergistic effect of development heuristics, learners’ perspectives, and subject expertise validation. The resultant 4 chatbots, in differing healthcare topics, were evaluated to understand how this simplistic and inclusive approach changes learners’ perspectives and experience of chatbots/conversational agents, to promote uptake and course performance. The results showed the majority of descriptive metrics (means, medians, modes) improved marginally, with minority showing no or reduced feedback. Majority consensus of improved experience and perspective is a great outcome considering learners’ concerns and anxieties noted in previous literature. This heterogeneity was explored to understand the technical and usage limitations in some users. The CEPEH team concluded that the processes, frameworks, development tools, and evaluation metrics can improve and encourage researchers, learning technologists, educators, and students to produce similar supportive, intuitive, accessible, and easily sustainable learning resources.</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