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Override PartName="/word/media/rId115.png" ContentType="image/png"/>
  <Override PartName="/word/media/rId95.png" ContentType="image/png"/>
  <Override PartName="/word/media/rId100.png" ContentType="image/png"/>
  <Override PartName="/word/media/rId105.png" ContentType="image/png"/>
  <Override PartName="/word/media/rId110.png" ContentType="image/png"/>
  <Override PartName="/word/media/rId38.png" ContentType="image/png"/>
  <Override PartName="/word/media/rId61.jpg" ContentType="image/jpeg"/>
  <Override PartName="/word/media/rId8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4 chatbots- for a total of 168 row of data, 5 per participant. 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 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 to face workshop or course. Student participants joined from Greece, Cyprus, Sweden, and the United Kingdom.</w:t>
      </w:r>
      <w:r>
        <w:t xml:space="preserve"> </w:t>
      </w:r>
      <w:r>
        <w:t xml:space="preserve">A repeated measures design was used as the same group measures were taken before and after usage of the chatbots. 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 Then, participants used the chatbot resources independently and technical support was provided. Finally, post-intervention measures were recorded.</w:t>
      </w:r>
    </w:p>
    <w:p>
      <w:pPr>
        <w:pStyle w:val="BodyText"/>
      </w:pPr>
      <w:r>
        <w:t xml:space="preserve">Some of the participants were invited to participate in Focus Group Discussions (FGD), and each FGD lasted between 15 to 25 minutes, with 5-10 participants. 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 Descriptive data was produced alongside repeated measures t-tests. Repeated measures t-tests were the appropriate test to use as this explores differences between groups, there were no covariates and we did not have several dependant variables. There was one Independent factor being Chatbot use having 2 levels (pre/post). 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 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Figure 1: Flow diagram of the recruitment process</w:t>
      </w:r>
    </w:p>
    <w:bookmarkEnd w:id="33"/>
    <w:bookmarkEnd w:id="34"/>
    <w:bookmarkEnd w:id="35"/>
    <w:bookmarkStart w:id="46"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Most learners use books or online books as resources. Of course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Current_Materials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 used a chatbot- in any form or subject: 23 stated they had never used a chatbot, being educational or not. 2 individuals had spent what would be extensive time with usage- these were the Learning Technologist and 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42" w:name="chatbot-usabilty-questionanire-cuq"/>
    <w:p>
      <w:pPr>
        <w:pStyle w:val="Heading2"/>
      </w:pPr>
      <w:r>
        <w:rPr>
          <w:rStyle w:val="SectionNumber"/>
        </w:rPr>
        <w:t xml:space="preserve">2.1</w:t>
      </w:r>
      <w:r>
        <w:tab/>
      </w:r>
      <w:r>
        <w:t xml:space="preserve">Chatbot Usabilty Questionanire (CUQ)</w:t>
      </w:r>
    </w:p>
    <w:bookmarkStart w:id="41"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p>
      <w:pPr>
        <w:pStyle w:val="SourceCode"/>
      </w:pPr>
      <w:r>
        <w:rPr>
          <w:rStyle w:val="VerbatimChar"/>
        </w:rPr>
        <w:t xml:space="preserve">## [1] "checking for install of rmarkdown"</w:t>
      </w:r>
      <w:r>
        <w:br/>
      </w:r>
      <w:r>
        <w:rPr>
          <w:rStyle w:val="VerbatimChar"/>
        </w:rPr>
        <w:t xml:space="preserve">## [1] "checking for install of bookdown"</w:t>
      </w:r>
      <w:r>
        <w:br/>
      </w:r>
      <w:r>
        <w:rPr>
          <w:rStyle w:val="VerbatimChar"/>
        </w:rPr>
        <w:t xml:space="preserve">## [1] "checking for install of knitr"</w:t>
      </w:r>
      <w:r>
        <w:br/>
      </w:r>
      <w:r>
        <w:rPr>
          <w:rStyle w:val="VerbatimChar"/>
        </w:rPr>
        <w:t xml:space="preserve">## [1] "checking for install of kableExtra"</w:t>
      </w:r>
      <w:r>
        <w:br/>
      </w:r>
      <w:r>
        <w:rPr>
          <w:rStyle w:val="VerbatimChar"/>
        </w:rPr>
        <w:t xml:space="preserve">## [1] "checking for install of tidyverse"</w:t>
      </w:r>
      <w:r>
        <w:br/>
      </w:r>
      <w:r>
        <w:rPr>
          <w:rStyle w:val="VerbatimChar"/>
        </w:rPr>
        <w:t xml:space="preserve">## [1] "checking for install of here"</w:t>
      </w:r>
      <w:r>
        <w:br/>
      </w:r>
      <w:r>
        <w:rPr>
          <w:rStyle w:val="VerbatimChar"/>
        </w:rPr>
        <w:t xml:space="preserve">## [1] "checking for install of readxl"</w:t>
      </w:r>
      <w:r>
        <w:br/>
      </w:r>
      <w:r>
        <w:rPr>
          <w:rStyle w:val="VerbatimChar"/>
        </w:rPr>
        <w:t xml:space="preserve">## [1] "checking for install of ggplot2"</w:t>
      </w:r>
      <w:r>
        <w:br/>
      </w:r>
      <w:r>
        <w:rPr>
          <w:rStyle w:val="VerbatimChar"/>
        </w:rPr>
        <w:t xml:space="preserve">## [1] "checking for install of lubridate"</w:t>
      </w:r>
      <w:r>
        <w:br/>
      </w:r>
      <w:r>
        <w:rPr>
          <w:rStyle w:val="VerbatimChar"/>
        </w:rPr>
        <w:t xml:space="preserve">## [1] "checking for install of plotly"</w:t>
      </w:r>
      <w:r>
        <w:br/>
      </w:r>
      <w:r>
        <w:rPr>
          <w:rStyle w:val="VerbatimChar"/>
        </w:rPr>
        <w:t xml:space="preserve">## [1] "checking for install of dplyr"</w:t>
      </w:r>
      <w:r>
        <w:br/>
      </w:r>
      <w:r>
        <w:rPr>
          <w:rStyle w:val="VerbatimChar"/>
        </w:rPr>
        <w:t xml:space="preserve">## [1] "checking for install of wesanderson"</w:t>
      </w:r>
      <w:r>
        <w:br/>
      </w:r>
      <w:r>
        <w:rPr>
          <w:rStyle w:val="VerbatimChar"/>
        </w:rPr>
        <w:t xml:space="preserve">## [1] "checking for install of viridis"</w:t>
      </w:r>
      <w:r>
        <w:br/>
      </w:r>
      <w:r>
        <w:rPr>
          <w:rStyle w:val="VerbatimChar"/>
        </w:rPr>
        <w:t xml:space="preserve">## [1] "checking for install of leaflet"</w:t>
      </w:r>
    </w:p>
    <w:bookmarkEnd w:id="41"/>
    <w:bookmarkEnd w:id="42"/>
    <w:bookmarkStart w:id="43"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3"/>
    <w:bookmarkStart w:id="45"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4"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4"/>
    <w:bookmarkEnd w:id="45"/>
    <w:bookmarkEnd w:id="46"/>
    <w:bookmarkStart w:id="48" w:name="cites-and-refs"/>
    <w:p>
      <w:pPr>
        <w:pStyle w:val="Heading1"/>
      </w:pPr>
      <w:r>
        <w:rPr>
          <w:rStyle w:val="SectionNumber"/>
        </w:rPr>
        <w:t xml:space="preserve">3</w:t>
      </w:r>
      <w:r>
        <w:tab/>
      </w:r>
      <w:r>
        <w:t xml:space="preserve">Training Event Results</w:t>
      </w:r>
    </w:p>
    <w:p>
      <w:pPr>
        <w:pStyle w:val="FirstParagraph"/>
      </w:pPr>
    </w:p>
    <w:bookmarkStart w:id="4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7"/>
    <w:bookmarkEnd w:id="48"/>
    <w:bookmarkStart w:id="7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1">
        <w:r>
          <w:rPr>
            <w:rStyle w:val="Hyperlink"/>
          </w:rPr>
          <w:t xml:space="preserve">Zotero</w:t>
        </w:r>
      </w:hyperlink>
      <w:r>
        <w:t xml:space="preserve"> </w:t>
      </w:r>
      <w:r>
        <w:t xml:space="preserve">with the</w:t>
      </w:r>
      <w:r>
        <w:t xml:space="preserve"> </w:t>
      </w:r>
      <w:hyperlink r:id="rId5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5"/>
    <w:bookmarkStart w:id="5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7"/>
    <w:bookmarkEnd w:id="58"/>
    <w:bookmarkStart w:id="6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9"/>
    <w:bookmarkEnd w:id="60"/>
    <w:bookmarkStart w:id="64"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2" name="Picture"/>
            <a:graphic>
              <a:graphicData uri="http://schemas.openxmlformats.org/drawingml/2006/picture">
                <pic:pic>
                  <pic:nvPicPr>
                    <pic:cNvPr descr="figures/sample-content/captain.jpeg" id="63" name="Picture"/>
                    <pic:cNvPicPr>
                      <a:picLocks noChangeArrowheads="1" noChangeAspect="1"/>
                    </pic:cNvPicPr>
                  </pic:nvPicPr>
                  <pic:blipFill>
                    <a:blip r:embed="rId61"/>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4"/>
    <w:bookmarkStart w:id="65"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5"/>
    <w:bookmarkStart w:id="6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6"/>
    <w:bookmarkEnd w:id="67"/>
    <w:bookmarkEnd w:id="68"/>
    <w:bookmarkStart w:id="7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0">
        <w:r>
          <w:rPr>
            <w:rStyle w:val="Hyperlink"/>
          </w:rPr>
          <w:t xml:space="preserve">issue #1463</w:t>
        </w:r>
      </w:hyperlink>
      <w:r>
        <w:t xml:space="preserve"> </w:t>
      </w:r>
      <w:r>
        <w:t xml:space="preserve">on GitHub, where</w:t>
      </w:r>
      <w:r>
        <w:t xml:space="preserve"> </w:t>
      </w:r>
      <w:hyperlink r:id="rId7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3"/>
    <w:bookmarkStart w:id="76"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4">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5">
        <w:r>
          <w:rPr>
            <w:rStyle w:val="Hyperlink"/>
          </w:rPr>
          <w:t xml:space="preserve">https://r4ds.had.co.nz</w:t>
        </w:r>
      </w:hyperlink>
    </w:p>
    <w:bookmarkEnd w:id="76"/>
    <w:bookmarkEnd w:id="77"/>
    <w:bookmarkStart w:id="8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8"/>
    <w:bookmarkStart w:id="8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0"/>
    <w:bookmarkStart w:id="8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1"/>
    <w:bookmarkStart w:id="8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3" name="Picture"/>
            <a:graphic>
              <a:graphicData uri="http://schemas.openxmlformats.org/drawingml/2006/picture">
                <pic:pic>
                  <pic:nvPicPr>
                    <pic:cNvPr descr="figures/sample-content/latex_font_sizes.png" id="84" name="Picture"/>
                    <pic:cNvPicPr>
                      <a:picLocks noChangeArrowheads="1" noChangeAspect="1"/>
                    </pic:cNvPicPr>
                  </pic:nvPicPr>
                  <pic:blipFill>
                    <a:blip r:embed="rId8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5"/>
    <w:bookmarkEnd w:id="86"/>
    <w:bookmarkEnd w:id="87"/>
    <w:bookmarkStart w:id="114" w:name="X51bc91f4e64bb84a1de0d4ebcf29499e1120650"/>
    <w:p>
      <w:pPr>
        <w:pStyle w:val="Heading1"/>
      </w:pPr>
      <w:r>
        <w:rPr>
          <w:rStyle w:val="SectionNumber"/>
        </w:rPr>
        <w:t xml:space="preserve">6</w:t>
      </w:r>
      <w:r>
        <w:tab/>
      </w:r>
      <w:r>
        <w:t xml:space="preserve">Text Mining, Natural Language Processing, and Sentiment Analysis</w:t>
      </w:r>
    </w:p>
    <w:bookmarkStart w:id="88"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8"/>
    <w:bookmarkStart w:id="91"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9" w:name="removing-non-alphanumeric-characters"/>
    <w:p>
      <w:pPr>
        <w:pStyle w:val="Heading3"/>
      </w:pPr>
      <w:r>
        <w:rPr>
          <w:rStyle w:val="SectionNumber"/>
        </w:rPr>
        <w:t xml:space="preserve">6.2.1</w:t>
      </w:r>
      <w:r>
        <w:tab/>
      </w:r>
      <w:r>
        <w:t xml:space="preserve">2.2 Removing non-alphanumeric characters</w:t>
      </w:r>
    </w:p>
    <w:p>
      <w:pPr>
        <w:numPr>
          <w:ilvl w:val="0"/>
          <w:numId w:val="1014"/>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9"/>
    <w:bookmarkStart w:id="90" w:name="stop-words"/>
    <w:p>
      <w:pPr>
        <w:pStyle w:val="Heading3"/>
      </w:pPr>
      <w:r>
        <w:rPr>
          <w:rStyle w:val="SectionNumber"/>
        </w:rPr>
        <w:t xml:space="preserve">6.2.2</w:t>
      </w:r>
      <w:r>
        <w:tab/>
      </w:r>
      <w:r>
        <w:t xml:space="preserve">2.3 Stop words</w:t>
      </w:r>
    </w:p>
    <w:p>
      <w:pPr>
        <w:numPr>
          <w:ilvl w:val="0"/>
          <w:numId w:val="1015"/>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5"/>
        </w:numPr>
        <w:pStyle w:val="Compact"/>
      </w:pPr>
      <w:r>
        <w:t xml:space="preserve">tidytext has a built-in df called stop_words for English</w:t>
      </w:r>
    </w:p>
    <w:p>
      <w:pPr>
        <w:numPr>
          <w:ilvl w:val="0"/>
          <w:numId w:val="1015"/>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0"/>
    <w:bookmarkEnd w:id="91"/>
    <w:bookmarkStart w:id="109" w:name="analysing-frequencies"/>
    <w:p>
      <w:pPr>
        <w:pStyle w:val="Heading2"/>
      </w:pPr>
      <w:r>
        <w:rPr>
          <w:rStyle w:val="SectionNumber"/>
        </w:rPr>
        <w:t xml:space="preserve">6.3</w:t>
      </w:r>
      <w:r>
        <w:tab/>
      </w:r>
      <w:r>
        <w:t xml:space="preserve">3 Analysing frequencies</w:t>
      </w:r>
    </w:p>
    <w:bookmarkStart w:id="99" w:name="find-most-frequent-words"/>
    <w:p>
      <w:pPr>
        <w:pStyle w:val="Heading3"/>
      </w:pPr>
      <w:r>
        <w:rPr>
          <w:rStyle w:val="SectionNumber"/>
        </w:rPr>
        <w:t xml:space="preserve">6.3.1</w:t>
      </w:r>
      <w:r>
        <w:tab/>
      </w:r>
      <w:r>
        <w:t xml:space="preserve">3.1 Find most frequent words</w:t>
      </w:r>
    </w:p>
    <w:p>
      <w:pPr>
        <w:numPr>
          <w:ilvl w:val="0"/>
          <w:numId w:val="1016"/>
        </w:numPr>
        <w:pStyle w:val="Compact"/>
      </w:pPr>
      <w:r>
        <w:t xml:space="preserve">Easily find frequent words using count()</w:t>
      </w:r>
    </w:p>
    <w:p>
      <w:pPr>
        <w:numPr>
          <w:ilvl w:val="0"/>
          <w:numId w:val="1016"/>
        </w:numPr>
        <w:pStyle w:val="Compact"/>
      </w:pPr>
      <w:r>
        <w:t xml:space="preserve">Data must be in tidy format (one token per line)</w:t>
      </w:r>
    </w:p>
    <w:p>
      <w:pPr>
        <w:numPr>
          <w:ilvl w:val="0"/>
          <w:numId w:val="1016"/>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8"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Readable%20label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unnamed-chunk-18-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8"/>
    <w:bookmarkEnd w:id="99"/>
    <w:bookmarkStart w:id="104" w:name="normalised-frequency"/>
    <w:p>
      <w:pPr>
        <w:pStyle w:val="Heading3"/>
      </w:pPr>
      <w:r>
        <w:rPr>
          <w:rStyle w:val="SectionNumber"/>
        </w:rPr>
        <w:t xml:space="preserve">6.3.2</w:t>
      </w:r>
      <w:r>
        <w:tab/>
      </w:r>
      <w:r>
        <w:t xml:space="preserve">3.2 Normalised frequency</w:t>
      </w:r>
    </w:p>
    <w:p>
      <w:pPr>
        <w:numPr>
          <w:ilvl w:val="0"/>
          <w:numId w:val="1017"/>
        </w:numPr>
        <w:pStyle w:val="Compact"/>
      </w:pPr>
      <w:r>
        <w:t xml:space="preserve">when comparing the frequencies of words from different texts, they are commonly normalised</w:t>
      </w:r>
    </w:p>
    <w:p>
      <w:pPr>
        <w:numPr>
          <w:ilvl w:val="0"/>
          <w:numId w:val="1017"/>
        </w:numPr>
        <w:pStyle w:val="Compact"/>
      </w:pPr>
      <w:r>
        <w:t xml:space="preserve">convention in corpus linguistics: report the frequency per 1 million words</w:t>
      </w:r>
    </w:p>
    <w:p>
      <w:pPr>
        <w:numPr>
          <w:ilvl w:val="0"/>
          <w:numId w:val="1017"/>
        </w:numPr>
        <w:pStyle w:val="Compact"/>
      </w:pPr>
      <w:r>
        <w:t xml:space="preserve">for shorter texts: per 10,000 or per 100,000 words</w:t>
      </w:r>
    </w:p>
    <w:p>
      <w:pPr>
        <w:numPr>
          <w:ilvl w:val="0"/>
          <w:numId w:val="1017"/>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3"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8"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2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3"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1" name="Picture"/>
            <a:graphic>
              <a:graphicData uri="http://schemas.openxmlformats.org/drawingml/2006/picture">
                <pic:pic>
                  <pic:nvPicPr>
                    <pic:cNvPr descr="_main_files/figure-docx/unnamed-chunk-23-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End w:id="114"/>
    <w:bookmarkStart w:id="118"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6" name="Picture"/>
            <a:graphic>
              <a:graphicData uri="http://schemas.openxmlformats.org/drawingml/2006/picture">
                <pic:pic>
                  <pic:nvPicPr>
                    <pic:cNvPr descr="_main_files/figure-docx/sentiment-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8"/>
    <w:bookmarkStart w:id="119" w:name="appendix"/>
    <w:p>
      <w:pPr>
        <w:pStyle w:val="Heading1"/>
      </w:pPr>
      <w:r>
        <w:t xml:space="preserve">Appendix</w:t>
      </w:r>
    </w:p>
    <w:bookmarkEnd w:id="119"/>
    <w:bookmarkStart w:id="120" w:name="appendix-appendix"/>
    <w:p>
      <w:pPr>
        <w:pStyle w:val="Heading1"/>
      </w:pPr>
      <w:r>
        <w:t xml:space="preserve">(APPENDIX) Appendix</w:t>
      </w:r>
    </w:p>
    <w:bookmarkEnd w:id="120"/>
    <w:bookmarkStart w:id="12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1"/>
    <w:bookmarkStart w:id="122" w:name="the-second-appendix-for-fun"/>
    <w:p>
      <w:pPr>
        <w:pStyle w:val="Heading1"/>
      </w:pPr>
      <w:r>
        <w:rPr>
          <w:rStyle w:val="SectionNumber"/>
        </w:rPr>
        <w:t xml:space="preserve">9</w:t>
      </w:r>
      <w:r>
        <w:tab/>
      </w:r>
      <w:r>
        <w:t xml:space="preserve">The Second Appendix, for Fun</w:t>
      </w:r>
    </w:p>
    <w:bookmarkEnd w:id="122"/>
    <w:bookmarkStart w:id="130" w:name="references"/>
    <w:p>
      <w:pPr>
        <w:pStyle w:val="Heading1"/>
      </w:pPr>
      <w:r>
        <w:t xml:space="preserve">References</w:t>
      </w:r>
    </w:p>
    <w:bookmarkStart w:id="129" w:name="refs"/>
    <w:bookmarkStart w:id="12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3">
        <w:r>
          <w:rPr>
            <w:rStyle w:val="Hyperlink"/>
          </w:rPr>
          <w:t xml:space="preserve">https://doi.org/10.1177/1071181312561289</w:t>
        </w:r>
      </w:hyperlink>
    </w:p>
    <w:bookmarkEnd w:id="124"/>
    <w:bookmarkStart w:id="12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25"/>
    <w:bookmarkStart w:id="12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26">
        <w:r>
          <w:rPr>
            <w:rStyle w:val="Hyperlink"/>
          </w:rPr>
          <w:t xml:space="preserve">https://doi.org/10.1016/j.tics.2014.01.006</w:t>
        </w:r>
      </w:hyperlink>
    </w:p>
    <w:bookmarkEnd w:id="127"/>
    <w:bookmarkStart w:id="12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image" Id="rId115" Target="media/rId115.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38" Target="media/rId38.png" /><Relationship Type="http://schemas.openxmlformats.org/officeDocument/2006/relationships/image" Id="rId61" Target="media/rId61.jp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26" Target="https://doi.org/10.1016/j.tics.2014.01.006" TargetMode="External" /><Relationship Type="http://schemas.openxmlformats.org/officeDocument/2006/relationships/hyperlink" Id="rId123"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26" Target="https://doi.org/10.1016/j.tics.2014.01.006" TargetMode="External" /><Relationship Type="http://schemas.openxmlformats.org/officeDocument/2006/relationships/hyperlink" Id="rId123"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2022-12-25T21:53:56Z</dcterms:created>
  <dcterms:modified xsi:type="dcterms:W3CDTF">2022-12-25T21:53:56Z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