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more validity towards measuring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e 2.3: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2.3</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2.4</w:t>
      </w:r>
      <w:r>
        <w:t xml:space="preserve">).</w:t>
      </w:r>
    </w:p>
    <w:p>
      <w:pPr>
        <w:pStyle w:val="CaptionedFigure"/>
      </w:pPr>
      <w:r>
        <w:drawing>
          <wp:inline>
            <wp:extent cx="4620126" cy="3696101"/>
            <wp:effectExtent b="0" l="0" r="0" t="0"/>
            <wp:docPr descr="Figure 2.4: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5: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07"/>
    <w:bookmarkStart w:id="108"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8"/>
    <w:bookmarkEnd w:id="109"/>
    <w:bookmarkStart w:id="113" w:name="cites-and-refs"/>
    <w:p>
      <w:pPr>
        <w:pStyle w:val="Heading1"/>
      </w:pPr>
      <w:r>
        <w:rPr>
          <w:rStyle w:val="SectionNumber"/>
        </w:rPr>
        <w:t xml:space="preserve">5</w:t>
      </w:r>
      <w:r>
        <w:tab/>
      </w:r>
      <w:r>
        <w:t xml:space="preserve">(Additional Analyses) Training Events</w:t>
      </w:r>
    </w:p>
    <w:p>
      <w:pPr>
        <w:pStyle w:val="FirstParagraph"/>
      </w:pPr>
    </w:p>
    <w:bookmarkStart w:id="11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0"/>
    <w:bookmarkStart w:id="11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1"/>
    <w:bookmarkStart w:id="11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2"/>
    <w:bookmarkEnd w:id="113"/>
    <w:bookmarkStart w:id="114" w:name="appendix"/>
    <w:p>
      <w:pPr>
        <w:pStyle w:val="Heading1"/>
      </w:pPr>
      <w:r>
        <w:t xml:space="preserve">Appendix</w:t>
      </w:r>
    </w:p>
    <w:bookmarkEnd w:id="114"/>
    <w:bookmarkStart w:id="115" w:name="appendix-appendix"/>
    <w:p>
      <w:pPr>
        <w:pStyle w:val="Heading1"/>
      </w:pPr>
      <w:r>
        <w:t xml:space="preserve">(APPENDIX) Appendix</w:t>
      </w:r>
    </w:p>
    <w:bookmarkEnd w:id="115"/>
    <w:bookmarkStart w:id="11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6"/>
    <w:bookmarkStart w:id="118" w:name="references"/>
    <w:p>
      <w:pPr>
        <w:pStyle w:val="Heading1"/>
      </w:pPr>
      <w:r>
        <w:t xml:space="preserve">References</w:t>
      </w:r>
    </w:p>
    <w:bookmarkStart w:id="117" w:name="refs"/>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2022-12-28T19:32:09Z</dcterms:created>
  <dcterms:modified xsi:type="dcterms:W3CDTF">2022-12-28T19:32:09Z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