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6.png" ContentType="image/png"/>
  <Override PartName="/word/media/rId38.png" ContentType="image/png"/>
  <Override PartName="/word/media/rId84.png" ContentType="image/png"/>
  <Override PartName="/word/media/rId81.png" ContentType="image/png"/>
  <Override PartName="/word/media/rId58.png" ContentType="image/png"/>
  <Override PartName="/word/media/rId62.png" ContentType="image/png"/>
  <Override PartName="/word/media/rId65.png" ContentType="image/png"/>
  <Override PartName="/word/media/rId69.png" ContentType="image/png"/>
  <Override PartName="/word/media/rId73.png" ContentType="image/png"/>
  <Override PartName="/word/media/rId100.png" ContentType="image/png"/>
  <Override PartName="/word/media/rId51.png" ContentType="image/png"/>
  <Override PartName="/word/media/rId93.png" ContentType="image/png"/>
  <Override PartName="/word/media/rId22.png" ContentType="image/png"/>
  <Override PartName="/word/media/rId108.png" ContentType="image/png"/>
  <Override PartName="/word/media/rId96.png" ContentType="image/png"/>
  <Override PartName="/word/media/rId105.png" ContentType="image/png"/>
  <Override PartName="/word/media/rId4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0"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rPr>
        <w:t xml:space="preserve">The participants then used the 4 chatbots, and completed the post-usage</w:t>
      </w:r>
      <w:r>
        <w:rPr>
          <w:iCs/>
          <w:i/>
        </w:rPr>
        <w:t xml:space="preserve"> </w:t>
      </w:r>
      <w:r>
        <w:rPr>
          <w:iCs/>
          <w:i/>
        </w:rPr>
        <w:t xml:space="preserve">survey after each chatbot. Pre-and post differences are as 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 Further exploration is required to understand which elements are causing</w:t>
      </w:r>
      <w:r>
        <w:t xml:space="preserve"> </w:t>
      </w:r>
      <w:r>
        <w:t xml:space="preserve">this spread, and if it was due to problems within a small group of 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56"/>
    <w:bookmarkStart w:id="57"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57"/>
    <w:bookmarkStart w:id="80" w:name="other-measeures"/>
    <w:p>
      <w:pPr>
        <w:pStyle w:val="Heading2"/>
      </w:pPr>
      <w:r>
        <w:rPr>
          <w:rStyle w:val="SectionNumber"/>
        </w:rPr>
        <w:t xml:space="preserve">2.5</w:t>
      </w:r>
      <w:r>
        <w:tab/>
      </w:r>
      <w:r>
        <w:t xml:space="preserve">Other Measeures</w:t>
      </w:r>
    </w:p>
    <w:bookmarkStart w:id="61"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5: Improvements in Knowledge" title="" id="59" name="Picture"/>
            <a:graphic>
              <a:graphicData uri="http://schemas.openxmlformats.org/drawingml/2006/picture">
                <pic:pic>
                  <pic:nvPicPr>
                    <pic:cNvPr descr="_main_files/figure-docx/Boxplotsplits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1"/>
    <w:bookmarkStart w:id="68"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6: Trust Chatbots POST use" title="" id="63" name="Picture"/>
            <a:graphic>
              <a:graphicData uri="http://schemas.openxmlformats.org/drawingml/2006/picture">
                <pic:pic>
                  <pic:nvPicPr>
                    <pic:cNvPr descr="_main_files/figure-docx/Boxplotsplits6-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Trust Chatbots POST use</w:t>
      </w:r>
    </w:p>
    <w:p>
      <w:pPr>
        <w:pStyle w:val="BodyText"/>
      </w:pPr>
      <w:r>
        <w:t xml:space="preserve">The figure above, (</w:t>
      </w:r>
      <w:r>
        <w:t xml:space="preserve">2.6</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7-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68"/>
    <w:bookmarkStart w:id="72"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0" name="Picture"/>
            <a:graphic>
              <a:graphicData uri="http://schemas.openxmlformats.org/drawingml/2006/picture">
                <pic:pic>
                  <pic:nvPicPr>
                    <pic:cNvPr descr="_main_files/figure-docx/Boxplotsplits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2"/>
    <w:bookmarkStart w:id="79"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7: Ease of Use Comparison" title="" id="74" name="Picture"/>
            <a:graphic>
              <a:graphicData uri="http://schemas.openxmlformats.org/drawingml/2006/picture">
                <pic:pic>
                  <pic:nvPicPr>
                    <pic:cNvPr descr="_main_files/figure-docx/Boxplotsplits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Ease of Use Comparison</w:t>
      </w:r>
    </w:p>
    <w:p>
      <w:pPr>
        <w:pStyle w:val="BodyText"/>
      </w:pPr>
      <w:r>
        <w:t xml:space="preserve">After usage, there was only agreement in Ease of Use- as shown in</w:t>
      </w:r>
      <w:r>
        <w:t xml:space="preserve"> </w:t>
      </w:r>
      <w:r>
        <w:t xml:space="preserve">(</w:t>
      </w:r>
      <w:r>
        <w:t xml:space="preserve">2.7</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77" name="Picture"/>
            <a:graphic>
              <a:graphicData uri="http://schemas.openxmlformats.org/drawingml/2006/picture">
                <pic:pic>
                  <pic:nvPicPr>
                    <pic:cNvPr descr="_main_files/figure-docx/Boxplotsplits1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9"/>
    <w:bookmarkEnd w:id="80"/>
    <w:bookmarkStart w:id="88" w:name="inferential-statistics"/>
    <w:p>
      <w:pPr>
        <w:pStyle w:val="Heading2"/>
      </w:pPr>
      <w:r>
        <w:rPr>
          <w:rStyle w:val="SectionNumber"/>
        </w:rPr>
        <w:t xml:space="preserve">2.6</w:t>
      </w:r>
      <w:r>
        <w:tab/>
      </w:r>
      <w:r>
        <w:t xml:space="preserve">Inferential Statistics</w:t>
      </w:r>
    </w:p>
    <w:bookmarkStart w:id="87"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2.8</w:t>
      </w:r>
      <w:r>
        <w:t xml:space="preserve">).</w:t>
      </w:r>
    </w:p>
    <w:p>
      <w:pPr>
        <w:pStyle w:val="CaptionedFigure"/>
      </w:pPr>
      <w:r>
        <w:drawing>
          <wp:inline>
            <wp:extent cx="4620126" cy="3696101"/>
            <wp:effectExtent b="0" l="0" r="0" t="0"/>
            <wp:docPr descr="Figure 2.8: Intend to Reuse-Post" title="" id="82" name="Picture"/>
            <a:graphic>
              <a:graphicData uri="http://schemas.openxmlformats.org/drawingml/2006/picture">
                <pic:pic>
                  <pic:nvPicPr>
                    <pic:cNvPr descr="_main_files/figure-docx/Boxplotsplits4-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9: Easy to Use- Post" title="" id="85" name="Picture"/>
            <a:graphic>
              <a:graphicData uri="http://schemas.openxmlformats.org/drawingml/2006/picture">
                <pic:pic>
                  <pic:nvPicPr>
                    <pic:cNvPr descr="_main_files/figure-docx/Boxplotsplits3-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7"/>
    <w:bookmarkEnd w:id="88"/>
    <w:bookmarkStart w:id="89"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9"/>
    <w:bookmarkEnd w:id="90"/>
    <w:bookmarkStart w:id="114"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92"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1"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91"/>
    <w:bookmarkEnd w:id="92"/>
    <w:bookmarkStart w:id="104"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FREQ%20words%20bar%20graph-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7-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9"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9"/>
    <w:bookmarkStart w:id="103"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CEPEH%20MOST%20FREQ-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103"/>
    <w:bookmarkEnd w:id="104"/>
    <w:bookmarkStart w:id="112"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11"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9" name="Picture"/>
            <a:graphic>
              <a:graphicData uri="http://schemas.openxmlformats.org/drawingml/2006/picture">
                <pic:pic>
                  <pic:nvPicPr>
                    <pic:cNvPr descr="_main_files/figure-docx/unnamed-chunk-11-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End w:id="112"/>
    <w:bookmarkStart w:id="113"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13"/>
    <w:bookmarkEnd w:id="114"/>
    <w:bookmarkStart w:id="121"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7" w:name="quantatative-results"/>
    <w:p>
      <w:pPr>
        <w:pStyle w:val="Heading2"/>
      </w:pPr>
      <w:r>
        <w:rPr>
          <w:rStyle w:val="SectionNumber"/>
        </w:rPr>
        <w:t xml:space="preserve">4.1</w:t>
      </w:r>
      <w:r>
        <w:tab/>
      </w:r>
      <w:r>
        <w:t xml:space="preserve">Quantatative Results</w:t>
      </w:r>
    </w:p>
    <w:bookmarkStart w:id="116" w:name="cuq"/>
    <w:p>
      <w:pPr>
        <w:pStyle w:val="Heading3"/>
      </w:pPr>
      <w:r>
        <w:rPr>
          <w:rStyle w:val="SectionNumber"/>
        </w:rPr>
        <w:t xml:space="preserve">4.1.1</w:t>
      </w:r>
      <w:r>
        <w:tab/>
      </w:r>
      <w:r>
        <w:t xml:space="preserve">CUQ</w:t>
      </w:r>
    </w:p>
    <w:p>
      <w:pPr>
        <w:pStyle w:val="FirstParagraph"/>
      </w:pPr>
      <w:r>
        <w:t xml:space="preserve">Holmes et al. [</w:t>
      </w:r>
      <w:hyperlink r:id="rId115">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 A score of 68 is at the centre of the range is thought of as</w:t>
      </w:r>
      <w:r>
        <w:t xml:space="preserve"> </w:t>
      </w:r>
      <w:r>
        <w:t xml:space="preserve">“</w:t>
      </w:r>
      <w:r>
        <w:t xml:space="preserve">C</w:t>
      </w:r>
      <w:r>
        <w:t xml:space="preserve">”</w:t>
      </w:r>
      <w:r>
        <w:t xml:space="preserve">. 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 For</w:t>
      </w:r>
      <w:r>
        <w:t xml:space="preserve"> </w:t>
      </w:r>
      <w:r>
        <w:t xml:space="preserve">example, in 2022</w:t>
      </w:r>
      <w:r>
        <w:t xml:space="preserve"> </w:t>
      </w:r>
      <w:hyperlink r:id="rId45">
        <w:r>
          <w:rPr>
            <w:rStyle w:val="Hyperlink"/>
          </w:rPr>
          <w:t xml:space="preserve">Link</w:t>
        </w:r>
      </w:hyperlink>
      <w:r>
        <w:t xml:space="preserve"> </w:t>
      </w:r>
      <w:r>
        <w:t xml:space="preserve">found a</w:t>
      </w:r>
      <w:r>
        <w:t xml:space="preserve"> </w:t>
      </w:r>
      <w:r>
        <w:t xml:space="preserve">physical activity promotion chatbot received 64.5/100, with lowest score</w:t>
      </w:r>
      <w:r>
        <w:t xml:space="preserve"> </w:t>
      </w:r>
      <w:r>
        <w:t xml:space="preserve">at 40.6</w:t>
      </w:r>
    </w:p>
    <w:bookmarkEnd w:id="116"/>
    <w:bookmarkEnd w:id="117"/>
    <w:bookmarkStart w:id="118" w:name="qualatative-results"/>
    <w:p>
      <w:pPr>
        <w:pStyle w:val="Heading2"/>
      </w:pPr>
      <w:r>
        <w:rPr>
          <w:rStyle w:val="SectionNumber"/>
        </w:rPr>
        <w:t xml:space="preserve">4.2</w:t>
      </w:r>
      <w:r>
        <w:tab/>
      </w:r>
      <w:r>
        <w:t xml:space="preserve">Qualatative Results</w:t>
      </w:r>
    </w:p>
    <w:bookmarkEnd w:id="118"/>
    <w:bookmarkStart w:id="119" w:name="limitations"/>
    <w:p>
      <w:pPr>
        <w:pStyle w:val="Heading2"/>
      </w:pPr>
      <w:r>
        <w:rPr>
          <w:rStyle w:val="SectionNumber"/>
        </w:rPr>
        <w:t xml:space="preserve">4.3</w:t>
      </w:r>
      <w:r>
        <w:tab/>
      </w:r>
      <w:r>
        <w:t xml:space="preserve">Limitations</w:t>
      </w:r>
    </w:p>
    <w:bookmarkEnd w:id="119"/>
    <w:bookmarkStart w:id="120"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0"/>
    <w:bookmarkEnd w:id="121"/>
    <w:bookmarkStart w:id="125" w:name="cites-and-refs"/>
    <w:p>
      <w:pPr>
        <w:pStyle w:val="Heading1"/>
      </w:pPr>
      <w:r>
        <w:rPr>
          <w:rStyle w:val="SectionNumber"/>
        </w:rPr>
        <w:t xml:space="preserve">5</w:t>
      </w:r>
      <w:r>
        <w:tab/>
      </w:r>
      <w:r>
        <w:t xml:space="preserve">(Additional Analyses) Training Events</w:t>
      </w:r>
    </w:p>
    <w:p>
      <w:pPr>
        <w:pStyle w:val="FirstParagraph"/>
      </w:pPr>
    </w:p>
    <w:bookmarkStart w:id="122"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2"/>
    <w:bookmarkStart w:id="123"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3"/>
    <w:bookmarkStart w:id="124"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4"/>
    <w:bookmarkEnd w:id="125"/>
    <w:bookmarkStart w:id="126" w:name="appendix"/>
    <w:p>
      <w:pPr>
        <w:pStyle w:val="Heading1"/>
      </w:pPr>
      <w:r>
        <w:t xml:space="preserve">Appendix</w:t>
      </w:r>
    </w:p>
    <w:bookmarkEnd w:id="126"/>
    <w:bookmarkStart w:id="127" w:name="appendix-appendix"/>
    <w:p>
      <w:pPr>
        <w:pStyle w:val="Heading1"/>
      </w:pPr>
      <w:r>
        <w:t xml:space="preserve">(APPENDIX) Appendix</w:t>
      </w:r>
    </w:p>
    <w:bookmarkEnd w:id="127"/>
    <w:bookmarkStart w:id="128"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8"/>
    <w:bookmarkStart w:id="130" w:name="references"/>
    <w:p>
      <w:pPr>
        <w:pStyle w:val="Heading1"/>
      </w:pPr>
      <w:r>
        <w:t xml:space="preserve">References</w:t>
      </w:r>
    </w:p>
    <w:bookmarkStart w:id="129" w:name="refs"/>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6" Target="media/rId76.png" /><Relationship Type="http://schemas.openxmlformats.org/officeDocument/2006/relationships/image" Id="rId38" Target="media/rId38.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100" Target="media/rId100.png" /><Relationship Type="http://schemas.openxmlformats.org/officeDocument/2006/relationships/image" Id="rId51" Target="media/rId51.png" /><Relationship Type="http://schemas.openxmlformats.org/officeDocument/2006/relationships/image" Id="rId93" Target="media/rId93.png" /><Relationship Type="http://schemas.openxmlformats.org/officeDocument/2006/relationships/image" Id="rId22" Target="media/rId22.png" /><Relationship Type="http://schemas.openxmlformats.org/officeDocument/2006/relationships/image" Id="rId108" Target="media/rId108.png" /><Relationship Type="http://schemas.openxmlformats.org/officeDocument/2006/relationships/image" Id="rId96" Target="media/rId96.png" /><Relationship Type="http://schemas.openxmlformats.org/officeDocument/2006/relationships/image" Id="rId105" Target="media/rId105.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45"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45" Target="a%3C%20href=" TargetMode="External" /><Relationship Type="http://schemas.openxmlformats.org/officeDocument/2006/relationships/hyperlink" Id="rId47" Target="cuq.png" TargetMode="External" /><Relationship Type="http://schemas.openxmlformats.org/officeDocument/2006/relationships/hyperlink" Id="rId115" Target="https://dl.acm.org/doi/10.1145/3335082.33350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2022-12-29T21:27:25Z</dcterms:created>
  <dcterms:modified xsi:type="dcterms:W3CDTF">2022-12-29T21:27:25Z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