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42.png" ContentType="image/png"/>
  <Override PartName="/word/media/rId45.png" ContentType="image/png"/>
  <Override PartName="/word/media/rId65.png" ContentType="image/png"/>
  <Override PartName="/word/media/rId130.png" ContentType="image/png"/>
  <Override PartName="/word/media/rId133.png" ContentType="image/png"/>
  <Override PartName="/word/media/rId136.png" ContentType="image/png"/>
  <Override PartName="/word/media/rId139.png" ContentType="image/png"/>
  <Override PartName="/word/media/rId142.png" ContentType="image/png"/>
  <Override PartName="/word/media/rId147.png" ContentType="image/png"/>
  <Override PartName="/word/media/rId152.png" ContentType="image/png"/>
  <Override PartName="/word/media/rId157.png" ContentType="image/png"/>
  <Override PartName="/word/media/rId72.png" ContentType="image/png"/>
  <Override PartName="/word/media/rId96.jpg" ContentType="image/jpeg"/>
  <Override PartName="/word/media/rId55.png" ContentType="image/png"/>
  <Override PartName="/word/media/rId117.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2"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for a total of 168. It was a repeated measure design therefore`</w:t>
      </w:r>
    </w:p>
    <w:p>
      <w:pPr>
        <w:pStyle w:val="BodyText"/>
      </w:pPr>
      <w:r>
        <w:t xml:space="preserve">There were 21 females from Greece, 3 from Cyprus, 2 from Sweden.</w:t>
      </w:r>
      <w:r>
        <w:br/>
      </w:r>
    </w:p>
    <w:p>
      <w:pPr>
        <w:pStyle w:val="BodyText"/>
      </w:pPr>
      <w:r>
        <w:t xml:space="preserve">There were 7 males from Greece, 3 from Cyprus, 2 from Sweden.</w:t>
      </w:r>
    </w:p>
    <w:bookmarkEnd w:id="22"/>
    <w:bookmarkStart w:id="23" w:name="procedure"/>
    <w:p>
      <w:pPr>
        <w:pStyle w:val="Heading2"/>
      </w:pPr>
      <w:r>
        <w:rPr>
          <w:rStyle w:val="SectionNumber"/>
        </w:rPr>
        <w:t xml:space="preserve">1.2</w:t>
      </w:r>
      <w:r>
        <w:tab/>
      </w:r>
      <w:r>
        <w:t xml:space="preserve">Procedure</w:t>
      </w:r>
    </w:p>
    <w:bookmarkEnd w:id="23"/>
    <w:bookmarkStart w:id="24" w:name="design"/>
    <w:p>
      <w:pPr>
        <w:pStyle w:val="Heading2"/>
      </w:pPr>
      <w:r>
        <w:rPr>
          <w:rStyle w:val="SectionNumber"/>
        </w:rPr>
        <w:t xml:space="preserve">1.3</w:t>
      </w:r>
      <w:r>
        <w:tab/>
      </w:r>
      <w:r>
        <w:t xml:space="preserve">Design</w:t>
      </w:r>
    </w:p>
    <w:bookmarkEnd w:id="24"/>
    <w:bookmarkStart w:id="30" w:name="materials"/>
    <w:p>
      <w:pPr>
        <w:pStyle w:val="Heading2"/>
      </w:pPr>
      <w:r>
        <w:rPr>
          <w:rStyle w:val="SectionNumber"/>
        </w:rPr>
        <w:t xml:space="preserve">1.4</w:t>
      </w:r>
      <w:r>
        <w:tab/>
      </w:r>
      <w:r>
        <w:t xml:space="preserve">Materials</w:t>
      </w:r>
    </w:p>
    <w:bookmarkStart w:id="25" w:name="system-usability-scale"/>
    <w:p>
      <w:pPr>
        <w:pStyle w:val="Heading3"/>
      </w:pPr>
      <w:r>
        <w:rPr>
          <w:rStyle w:val="SectionNumber"/>
        </w:rPr>
        <w:t xml:space="preserve">1.4.1</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5"/>
    <w:bookmarkStart w:id="26" w:name="computer-self-efficacy-scale-tool"/>
    <w:p>
      <w:pPr>
        <w:pStyle w:val="Heading3"/>
      </w:pPr>
      <w:r>
        <w:rPr>
          <w:rStyle w:val="SectionNumber"/>
        </w:rPr>
        <w:t xml:space="preserve">1.4.2</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6"/>
    <w:bookmarkStart w:id="27" w:name="X08b918fff8fef3dcdd27e72c86f8a1603f8b09d"/>
    <w:p>
      <w:pPr>
        <w:pStyle w:val="Heading3"/>
      </w:pPr>
      <w:r>
        <w:rPr>
          <w:rStyle w:val="SectionNumber"/>
        </w:rPr>
        <w:t xml:space="preserve">1.4.3</w:t>
      </w:r>
      <w:r>
        <w:tab/>
      </w:r>
      <w:r>
        <w:t xml:space="preserve">Unified Theory of Acceptance and Use of Technology</w:t>
      </w:r>
    </w:p>
    <w:bookmarkEnd w:id="27"/>
    <w:bookmarkStart w:id="28" w:name="technology-acceptance-model-tam"/>
    <w:p>
      <w:pPr>
        <w:pStyle w:val="Heading3"/>
      </w:pPr>
      <w:r>
        <w:rPr>
          <w:rStyle w:val="SectionNumber"/>
        </w:rPr>
        <w:t xml:space="preserve">1.4.4</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8"/>
    <w:bookmarkStart w:id="29" w:name="X7651f61d787d19b30cfc5d8d3a1fb48e7b89d15"/>
    <w:p>
      <w:pPr>
        <w:pStyle w:val="Heading3"/>
      </w:pPr>
      <w:r>
        <w:rPr>
          <w:rStyle w:val="SectionNumber"/>
        </w:rPr>
        <w:t xml:space="preserve">1.4.5</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w:t>
      </w:r>
      <w:r>
        <w:t xml:space="preserve"> </w:t>
      </w:r>
      <w:r>
        <w:t xml:space="preserve">Focus groups are a form of qualitative research consisting of interviews or structured discussions, in which a group of people are asked about their perceptions, opinions, beliefs, and attitudes towards a product, service, concept, advertisement, idea, or packaging.</w:t>
      </w:r>
      <w:r>
        <w:t xml:space="preserve"> </w:t>
      </w:r>
      <w:r>
        <w:t xml:space="preserve">Questions are asked in an interactive group setting where participants are free to talk with other group members.</w:t>
      </w:r>
      <w:r>
        <w:t xml:space="preserve"> </w:t>
      </w:r>
      <w:r>
        <w:t xml:space="preserve">During this process, the researcher either takes notes or records the vital points he or she is getting from the group.</w:t>
      </w:r>
      <w:r>
        <w:t xml:space="preserve"> </w:t>
      </w:r>
      <w:r>
        <w:t xml:space="preserve">Researchers select members of the focus group carefully for effective and authoritative responses.</w:t>
      </w:r>
      <w:r>
        <w:t xml:space="preserve"> </w:t>
      </w:r>
      <w:r>
        <w:t xml:space="preserve">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w:t>
      </w:r>
      <w:r>
        <w:t xml:space="preserve"> </w:t>
      </w:r>
      <w:r>
        <w:t xml:space="preserve">These sessions, spanning no more than 1-1.5 hours and consisting of no more than 5-7 persons each explored all axes of curricular integration such as accessibility in the classroom, use case scenarios, technology requirements for curricular integration etc.</w:t>
      </w:r>
      <w:r>
        <w:t xml:space="preserve"> </w:t>
      </w:r>
      <w:r>
        <w:t xml:space="preserve">These axes were formalized by the research team, in each evaluation site, to consider the curricular details of each institution.</w:t>
      </w:r>
    </w:p>
    <w:bookmarkEnd w:id="29"/>
    <w:bookmarkEnd w:id="30"/>
    <w:bookmarkStart w:id="31" w:name="analysis"/>
    <w:p>
      <w:pPr>
        <w:pStyle w:val="Heading2"/>
      </w:pPr>
      <w:r>
        <w:rPr>
          <w:rStyle w:val="SectionNumber"/>
        </w:rPr>
        <w:t xml:space="preserve">1.5</w:t>
      </w:r>
      <w:r>
        <w:tab/>
      </w:r>
      <w:r>
        <w:t xml:space="preserve">Analysis</w:t>
      </w:r>
    </w:p>
    <w:bookmarkEnd w:id="31"/>
    <w:bookmarkEnd w:id="32"/>
    <w:bookmarkStart w:id="81" w:name="rmd-basics"/>
    <w:p>
      <w:pPr>
        <w:pStyle w:val="Heading1"/>
      </w:pPr>
      <w:r>
        <w:rPr>
          <w:rStyle w:val="SectionNumber"/>
        </w:rPr>
        <w:t xml:space="preserve">2</w:t>
      </w:r>
      <w:r>
        <w:tab/>
      </w:r>
      <w:r>
        <w:t xml:space="preserve">Results</w:t>
      </w:r>
    </w:p>
    <w:p>
      <w:pPr>
        <w:pStyle w:val="FirstParagraph"/>
      </w:pPr>
    </w:p>
    <w:p>
      <w:pPr>
        <w:pStyle w:val="BodyText"/>
      </w:pPr>
    </w:p>
    <w:p>
      <w:pPr>
        <w:pStyle w:val="BodyText"/>
      </w:pPr>
      <w:r>
        <w:t xml:space="preserve">Have users in previous years shared the HELM Open RLO catalogue?</w:t>
      </w:r>
    </w:p>
    <w:p>
      <w:pPr>
        <w:pStyle w:val="BodyText"/>
      </w:pPr>
      <w:r>
        <w:t xml:space="preserve">Well, we have so much data we haven’t looked through it all yet.</w:t>
      </w:r>
    </w:p>
    <w:p>
      <w:pPr>
        <w:pStyle w:val="BodyText"/>
      </w:pPr>
      <w:r>
        <w:t xml:space="preserve">33,571 learners told us how they found out- each answer is different.</w:t>
      </w:r>
    </w:p>
    <w:p>
      <w:pPr>
        <w:pStyle w:val="BodyText"/>
      </w:pPr>
      <w:r>
        <w:t xml:space="preserve">We are through about 10% of this data and will update weekly.</w:t>
      </w:r>
    </w:p>
    <w:bookmarkStart w:id="33" w:name="pre-usage-results"/>
    <w:p>
      <w:pPr>
        <w:pStyle w:val="Heading2"/>
      </w:pPr>
      <w:r>
        <w:rPr>
          <w:rStyle w:val="SectionNumber"/>
        </w:rPr>
        <w:t xml:space="preserve">2.1</w:t>
      </w:r>
      <w:r>
        <w:tab/>
      </w:r>
      <w:r>
        <w:t xml:space="preserve">Pre Usage Results</w:t>
      </w:r>
    </w:p>
    <w:p>
      <w:pPr>
        <w:pStyle w:val="SourceCode"/>
      </w:pPr>
      <w:r>
        <w:rPr>
          <w:rStyle w:val="VerbatimChar"/>
        </w:rPr>
        <w:t xml:space="preserve"># A tibble: 41 × 2</w:t>
      </w:r>
      <w:r>
        <w:br/>
      </w:r>
      <w:r>
        <w:rPr>
          <w:rStyle w:val="VerbatimChar"/>
        </w:rPr>
        <w:t xml:space="preserve">   profession                     hours    </w:t>
      </w:r>
      <w:r>
        <w:br/>
      </w:r>
      <w:r>
        <w:rPr>
          <w:rStyle w:val="VerbatimChar"/>
        </w:rPr>
        <w:t xml:space="preserve">   &lt;chr&gt;                          &lt;chr&gt;    </w:t>
      </w:r>
      <w:r>
        <w:br/>
      </w:r>
      <w:r>
        <w:rPr>
          <w:rStyle w:val="VerbatimChar"/>
        </w:rPr>
        <w:t xml:space="preserve"> 1 Student on a Healthcare course 1-4 hours</w:t>
      </w:r>
      <w:r>
        <w:br/>
      </w:r>
      <w:r>
        <w:rPr>
          <w:rStyle w:val="VerbatimChar"/>
        </w:rPr>
        <w:t xml:space="preserve"> 2 Student on a Healthcare course Never    </w:t>
      </w:r>
      <w:r>
        <w:br/>
      </w:r>
      <w:r>
        <w:rPr>
          <w:rStyle w:val="VerbatimChar"/>
        </w:rPr>
        <w:t xml:space="preserve"> 3 Student on a Healthcare course Never    </w:t>
      </w:r>
      <w:r>
        <w:br/>
      </w:r>
      <w:r>
        <w:rPr>
          <w:rStyle w:val="VerbatimChar"/>
        </w:rPr>
        <w:t xml:space="preserve"> 4 Student on a Healthcare course Never    </w:t>
      </w:r>
      <w:r>
        <w:br/>
      </w:r>
      <w:r>
        <w:rPr>
          <w:rStyle w:val="VerbatimChar"/>
        </w:rPr>
        <w:t xml:space="preserve"> 5 College student                1-4 hours</w:t>
      </w:r>
      <w:r>
        <w:br/>
      </w:r>
      <w:r>
        <w:rPr>
          <w:rStyle w:val="VerbatimChar"/>
        </w:rPr>
        <w:t xml:space="preserve"> 6 Student on a Healthcare course 1-4 hours</w:t>
      </w:r>
      <w:r>
        <w:br/>
      </w:r>
      <w:r>
        <w:rPr>
          <w:rStyle w:val="VerbatimChar"/>
        </w:rPr>
        <w:t xml:space="preserve"> 7 Student on a Healthcare course Never    </w:t>
      </w:r>
      <w:r>
        <w:br/>
      </w:r>
      <w:r>
        <w:rPr>
          <w:rStyle w:val="VerbatimChar"/>
        </w:rPr>
        <w:t xml:space="preserve"> 8 Student on a Healthcare course Never    </w:t>
      </w:r>
      <w:r>
        <w:br/>
      </w:r>
      <w:r>
        <w:rPr>
          <w:rStyle w:val="VerbatimChar"/>
        </w:rPr>
        <w:t xml:space="preserve"> 9 Student on a Healthcare course Never    </w:t>
      </w:r>
      <w:r>
        <w:br/>
      </w:r>
      <w:r>
        <w:rPr>
          <w:rStyle w:val="VerbatimChar"/>
        </w:rPr>
        <w:t xml:space="preserve">10 Lecturer                       Never    </w:t>
      </w:r>
      <w:r>
        <w:br/>
      </w:r>
      <w:r>
        <w:rPr>
          <w:rStyle w:val="VerbatimChar"/>
        </w:rPr>
        <w:t xml:space="preserve"># … with 31 more rows</w:t>
      </w:r>
    </w:p>
    <w:bookmarkEnd w:id="33"/>
    <w:bookmarkStart w:id="34"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for all data was XXX. This is within, and above the median of, 68 – which is in the range of</w:t>
      </w:r>
      <w:r>
        <w:t xml:space="preserve"> </w:t>
      </w:r>
      <w:r>
        <w:t xml:space="preserve">‘</w:t>
      </w:r>
      <w:r>
        <w:t xml:space="preserve">average</w:t>
      </w:r>
      <w:r>
        <w:t xml:space="preserve">’</w:t>
      </w:r>
      <w:r>
        <w:t xml:space="preserve"> </w:t>
      </w:r>
      <w:r>
        <w:t xml:space="preserve">usability. This is good as the resources were early demonstrations and had reduced beta alpha testing due to time constraints- future updates can improve this metric.</w:t>
      </w:r>
    </w:p>
    <w:p>
      <w:pPr>
        <w:pStyle w:val="BodyText"/>
      </w:pPr>
      <w:r>
        <w:t xml:space="preserve">After reversing the scores of the negatively worded questions (odd numbered questions), participants strongly agreed the system was not complex (XX% agreements), and they did not need assistance before use (XX% agreements). All remaining questions has the most frequently observed response as</w:t>
      </w:r>
      <w:r>
        <w:t xml:space="preserve"> </w:t>
      </w:r>
      <w:r>
        <w:t xml:space="preserve">‘</w:t>
      </w:r>
      <w:r>
        <w:t xml:space="preserve">agree</w:t>
      </w:r>
      <w:r>
        <w:t xml:space="preserve">’</w:t>
      </w:r>
      <w:r>
        <w:t xml:space="preserve">- the lowest amount of agreement (agree and strongly agree) was XX% for question X, which was explored further in the individual Partners’ analyses.</w:t>
      </w:r>
    </w:p>
    <w:p>
      <w:pPr>
        <w:pStyle w:val="BodyText"/>
      </w:pPr>
      <w:r>
        <w:t xml:space="preserve">if you don’t like boring tables, here is the same data in a graph!</w:t>
      </w:r>
    </w:p>
    <w:bookmarkEnd w:id="34"/>
    <w:bookmarkStart w:id="77"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 of Use). Ease of Use results showed significant increases in Users’ usage with each Chatbot. Perceived Usefulness: There were not significant findings for the Perceived usefulness. The justification for this may be due to being early versions of applications with limited functionality and functions which can be difficult for user to experience the intended further range of features and learning exercises.</w:t>
      </w:r>
      <w:r>
        <w:t xml:space="preserve"> </w:t>
      </w:r>
      <w:r>
        <w:t xml:space="preserve">Intention of Use: For users’ intentions to use within their course, the result of the Mann-Whitney U test was not significant, U = , z = , p = . in their intentions before use (m=xx, mode=xx) compared to after (m=xx, mode=x), however there was improvement therefore the chatbots may have more benefit than expected by students.</w:t>
      </w:r>
    </w:p>
    <w:bookmarkStart w:id="48" w:name="course-learning-recommendations-and-more"/>
    <w:p>
      <w:pPr>
        <w:pStyle w:val="Heading3"/>
      </w:pPr>
      <w:r>
        <w:rPr>
          <w:rStyle w:val="SectionNumber"/>
        </w:rPr>
        <w:t xml:space="preserve">2.3.1</w:t>
      </w:r>
      <w:r>
        <w:tab/>
      </w:r>
      <w:r>
        <w:t xml:space="preserve">Course Learning, Recommendations, and more</w:t>
      </w:r>
    </w:p>
    <w:p>
      <w:pPr>
        <w:pStyle w:val="FirstParagraph"/>
      </w:pPr>
      <w:r>
        <w:t xml:space="preserve">The data showed that learners</w:t>
      </w:r>
      <w:r>
        <w:t xml:space="preserve"> </w:t>
      </w:r>
      <w:r>
        <w:rPr>
          <w:iCs/>
          <w:i/>
        </w:rPr>
        <w:t xml:space="preserve">strongly recommend</w:t>
      </w:r>
      <w:r>
        <w:t xml:space="preserve"> </w:t>
      </w:r>
      <w:r>
        <w:t xml:space="preserve">the RLO(s) they used to others, but how does this translate?</w:t>
      </w:r>
    </w:p>
    <w:p>
      <w:pPr>
        <w:pStyle w:val="BodyText"/>
      </w:pPr>
      <w:r>
        <w:t xml:space="preserve">For the 10% of data we have, the figure below ’</w:t>
      </w:r>
      <w:r>
        <w:rPr>
          <w:iCs/>
          <w:i/>
        </w:rPr>
        <w:t xml:space="preserve">How did you find out about the RLO you used’</w:t>
      </w:r>
      <w:r>
        <w:t xml:space="preserve"> </w:t>
      </w:r>
      <w:r>
        <w:t xml:space="preserve">shows 700 respondents were recommended from a friend, peer, tutor, or other.</w:t>
      </w:r>
    </w:p>
    <w:p>
      <w:pPr>
        <w:pStyle w:val="BodyText"/>
      </w:pPr>
      <w:r>
        <w:drawing>
          <wp:inline>
            <wp:extent cx="4620126" cy="3696101"/>
            <wp:effectExtent b="0" l="0" r="0" t="0"/>
            <wp:docPr descr="" title="" id="36" name="Picture"/>
            <a:graphic>
              <a:graphicData uri="http://schemas.openxmlformats.org/drawingml/2006/picture">
                <pic:pic>
                  <pic:nvPicPr>
                    <pic:cNvPr descr="_main_files/figure-docx/Discovery%20Section-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figure also shows how more than 6000 respondents first used the RLOs as instructed by their tutors on their course.</w:t>
      </w:r>
    </w:p>
    <w:p>
      <w:pPr>
        <w:pStyle w:val="BodyText"/>
      </w:pPr>
      <w:r>
        <w:t xml:space="preserve">and if you’re browsing the internet for information on a healthcare topic and come across</w:t>
      </w:r>
      <w:r>
        <w:t xml:space="preserve"> </w:t>
      </w:r>
      <w:hyperlink r:id="rId38">
        <w:r>
          <w:rPr>
            <w:rStyle w:val="Hyperlink"/>
          </w:rPr>
          <w:t xml:space="preserve">https://www.nottingham.ac.uk/helmopen/</w:t>
        </w:r>
      </w:hyperlink>
      <w:r>
        <w:t xml:space="preserve"> </w:t>
      </w:r>
      <w:r>
        <w:t xml:space="preserve">:- You’re 1 of about 350 people finding about our resources from internet search.</w:t>
      </w:r>
      <w:r>
        <w:t xml:space="preserve"> </w:t>
      </w:r>
      <w:r>
        <w:t xml:space="preserve">Hopefully that grows, but it seems social networking is the key to sharing these tools.</w:t>
      </w:r>
    </w:p>
    <w:p>
      <w:pPr>
        <w:pStyle w:val="BodyText"/>
      </w:pPr>
      <w:r>
        <w:t xml:space="preserve">A random sample of other sources are: Twitter, Aim higher days, Barnardos ignite learning, and, well,</w:t>
      </w:r>
      <w:r>
        <w:t xml:space="preserve"> </w:t>
      </w:r>
      <w:r>
        <w:t xml:space="preserve">‘</w:t>
      </w:r>
      <w:r>
        <w:rPr>
          <w:iCs/>
          <w:i/>
        </w:rPr>
        <w:t xml:space="preserve">a random Google photo</w:t>
      </w:r>
      <w:r>
        <w:t xml:space="preserve">;</w:t>
      </w:r>
      <w:r>
        <w:t xml:space="preserve">’</w:t>
      </w:r>
      <w:r>
        <w:t xml:space="preserve">- our online presence seems to be in many places!</w:t>
      </w:r>
    </w:p>
    <w:p>
      <w:pPr>
        <w:pStyle w:val="BodyText"/>
      </w:pPr>
      <w:r>
        <w:t xml:space="preserve">UP TO HERE1</w:t>
      </w:r>
    </w:p>
    <w:p>
      <w:pPr>
        <w:pStyle w:val="SourceCode"/>
      </w:pPr>
      <w:r>
        <w:rPr>
          <w:rStyle w:val="VerbatimChar"/>
        </w:rPr>
        <w:t xml:space="preserve"># A tibble: 24 × 3</w:t>
      </w:r>
      <w:r>
        <w:br/>
      </w:r>
      <w:r>
        <w:rPr>
          <w:rStyle w:val="VerbatimChar"/>
        </w:rPr>
        <w:t xml:space="preserve"># Groups:   Identity, dRLO [24]</w:t>
      </w:r>
      <w:r>
        <w:br/>
      </w:r>
      <w:r>
        <w:rPr>
          <w:rStyle w:val="VerbatimChar"/>
        </w:rPr>
        <w:t xml:space="preserve">   Identity                dRLO                                  n</w:t>
      </w:r>
      <w:r>
        <w:br/>
      </w:r>
      <w:r>
        <w:rPr>
          <w:rStyle w:val="VerbatimChar"/>
        </w:rPr>
        <w:t xml:space="preserve">   &lt;chr&gt;                   &lt;chr&gt;                             &lt;int&gt;</w:t>
      </w:r>
      <w:r>
        <w:br/>
      </w:r>
      <w:r>
        <w:rPr>
          <w:rStyle w:val="VerbatimChar"/>
        </w:rPr>
        <w:t xml:space="preserve"> 1 HE student              It was a course learning resource    80</w:t>
      </w:r>
      <w:r>
        <w:br/>
      </w:r>
      <w:r>
        <w:rPr>
          <w:rStyle w:val="VerbatimChar"/>
        </w:rPr>
        <w:t xml:space="preserve"> 2 HE student              Other                                 2</w:t>
      </w:r>
      <w:r>
        <w:br/>
      </w:r>
      <w:r>
        <w:rPr>
          <w:rStyle w:val="VerbatimChar"/>
        </w:rPr>
        <w:t xml:space="preserve"> 3 HE student              Recommended by a colleague/peer       4</w:t>
      </w:r>
      <w:r>
        <w:br/>
      </w:r>
      <w:r>
        <w:rPr>
          <w:rStyle w:val="VerbatimChar"/>
        </w:rPr>
        <w:t xml:space="preserve"> 4 HE student              Through HELM-Open                     1</w:t>
      </w:r>
      <w:r>
        <w:br/>
      </w:r>
      <w:r>
        <w:rPr>
          <w:rStyle w:val="VerbatimChar"/>
        </w:rPr>
        <w:t xml:space="preserve"> 5 Healthcare professional General internet search               7</w:t>
      </w:r>
      <w:r>
        <w:br/>
      </w:r>
      <w:r>
        <w:rPr>
          <w:rStyle w:val="VerbatimChar"/>
        </w:rPr>
        <w:t xml:space="preserve"> 6 Healthcare professional It was a course learning resource   131</w:t>
      </w:r>
      <w:r>
        <w:br/>
      </w:r>
      <w:r>
        <w:rPr>
          <w:rStyle w:val="VerbatimChar"/>
        </w:rPr>
        <w:t xml:space="preserve"> 7 Healthcare professional Other                                 3</w:t>
      </w:r>
      <w:r>
        <w:br/>
      </w:r>
      <w:r>
        <w:rPr>
          <w:rStyle w:val="VerbatimChar"/>
        </w:rPr>
        <w:t xml:space="preserve"> 8 Healthcare professional Recommended by a colleague/peer      10</w:t>
      </w:r>
      <w:r>
        <w:br/>
      </w:r>
      <w:r>
        <w:rPr>
          <w:rStyle w:val="VerbatimChar"/>
        </w:rPr>
        <w:t xml:space="preserve"> 9 Other                   General internet search               8</w:t>
      </w:r>
      <w:r>
        <w:br/>
      </w:r>
      <w:r>
        <w:rPr>
          <w:rStyle w:val="VerbatimChar"/>
        </w:rPr>
        <w:t xml:space="preserve">10 Other                   It was a course learning resource    50</w:t>
      </w:r>
      <w:r>
        <w:br/>
      </w:r>
      <w:r>
        <w:rPr>
          <w:rStyle w:val="VerbatimChar"/>
        </w:rPr>
        <w:t xml:space="preserve"># … with 14 more rows</w:t>
      </w:r>
    </w:p>
    <w:p>
      <w:pPr>
        <w:pStyle w:val="FirstParagraph"/>
      </w:pPr>
      <w:r>
        <w:drawing>
          <wp:inline>
            <wp:extent cx="4620126" cy="3696101"/>
            <wp:effectExtent b="0" l="0" r="0" t="0"/>
            <wp:docPr descr="" title="" id="40" name="Picture"/>
            <a:graphic>
              <a:graphicData uri="http://schemas.openxmlformats.org/drawingml/2006/picture">
                <pic:pic>
                  <pic:nvPicPr>
                    <pic:cNvPr descr="_main_files/figure-docx/Identity%20section%20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_main_files/figure-docx/Identity%20section%201-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 tibble: 24 × 3</w:t>
      </w:r>
      <w:r>
        <w:br/>
      </w:r>
      <w:r>
        <w:rPr>
          <w:rStyle w:val="VerbatimChar"/>
        </w:rPr>
        <w:t xml:space="preserve"># Groups:   Identity, dRLO [24]</w:t>
      </w:r>
      <w:r>
        <w:br/>
      </w:r>
      <w:r>
        <w:rPr>
          <w:rStyle w:val="VerbatimChar"/>
        </w:rPr>
        <w:t xml:space="preserve">   Identity                dRLO                                  n</w:t>
      </w:r>
      <w:r>
        <w:br/>
      </w:r>
      <w:r>
        <w:rPr>
          <w:rStyle w:val="VerbatimChar"/>
        </w:rPr>
        <w:t xml:space="preserve">   &lt;chr&gt;                   &lt;chr&gt;                             &lt;int&gt;</w:t>
      </w:r>
      <w:r>
        <w:br/>
      </w:r>
      <w:r>
        <w:rPr>
          <w:rStyle w:val="VerbatimChar"/>
        </w:rPr>
        <w:t xml:space="preserve"> 1 HE student              It was a course learning resource    80</w:t>
      </w:r>
      <w:r>
        <w:br/>
      </w:r>
      <w:r>
        <w:rPr>
          <w:rStyle w:val="VerbatimChar"/>
        </w:rPr>
        <w:t xml:space="preserve"> 2 HE student              Other                                 2</w:t>
      </w:r>
      <w:r>
        <w:br/>
      </w:r>
      <w:r>
        <w:rPr>
          <w:rStyle w:val="VerbatimChar"/>
        </w:rPr>
        <w:t xml:space="preserve"> 3 HE student              Recommended by a colleague/peer       4</w:t>
      </w:r>
      <w:r>
        <w:br/>
      </w:r>
      <w:r>
        <w:rPr>
          <w:rStyle w:val="VerbatimChar"/>
        </w:rPr>
        <w:t xml:space="preserve"> 4 HE student              Through HELM-Open                     1</w:t>
      </w:r>
      <w:r>
        <w:br/>
      </w:r>
      <w:r>
        <w:rPr>
          <w:rStyle w:val="VerbatimChar"/>
        </w:rPr>
        <w:t xml:space="preserve"> 5 Healthcare professional General internet search               7</w:t>
      </w:r>
      <w:r>
        <w:br/>
      </w:r>
      <w:r>
        <w:rPr>
          <w:rStyle w:val="VerbatimChar"/>
        </w:rPr>
        <w:t xml:space="preserve"> 6 Healthcare professional It was a course learning resource   131</w:t>
      </w:r>
      <w:r>
        <w:br/>
      </w:r>
      <w:r>
        <w:rPr>
          <w:rStyle w:val="VerbatimChar"/>
        </w:rPr>
        <w:t xml:space="preserve"> 7 Healthcare professional Other                                 3</w:t>
      </w:r>
      <w:r>
        <w:br/>
      </w:r>
      <w:r>
        <w:rPr>
          <w:rStyle w:val="VerbatimChar"/>
        </w:rPr>
        <w:t xml:space="preserve"> 8 Healthcare professional Recommended by a colleague/peer      10</w:t>
      </w:r>
      <w:r>
        <w:br/>
      </w:r>
      <w:r>
        <w:rPr>
          <w:rStyle w:val="VerbatimChar"/>
        </w:rPr>
        <w:t xml:space="preserve"> 9 Other                   General internet search               8</w:t>
      </w:r>
      <w:r>
        <w:br/>
      </w:r>
      <w:r>
        <w:rPr>
          <w:rStyle w:val="VerbatimChar"/>
        </w:rPr>
        <w:t xml:space="preserve">10 Other                   It was a course learning resource    50</w:t>
      </w:r>
      <w:r>
        <w:br/>
      </w:r>
      <w:r>
        <w:rPr>
          <w:rStyle w:val="VerbatimChar"/>
        </w:rPr>
        <w:t xml:space="preserve"># … with 14 more rows</w:t>
      </w:r>
    </w:p>
    <w:p>
      <w:pPr>
        <w:pStyle w:val="FirstParagraph"/>
      </w:pPr>
      <w:r>
        <w:drawing>
          <wp:inline>
            <wp:extent cx="4620126" cy="3696101"/>
            <wp:effectExtent b="0" l="0" r="0" t="0"/>
            <wp:docPr descr="" title="" id="46" name="Picture"/>
            <a:graphic>
              <a:graphicData uri="http://schemas.openxmlformats.org/drawingml/2006/picture">
                <pic:pic>
                  <pic:nvPicPr>
                    <pic:cNvPr descr="_main_files/figure-docx/Identity%20section%201-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italics-and-bold"/>
    <w:p>
      <w:pPr>
        <w:pStyle w:val="Heading3"/>
      </w:pPr>
      <w:r>
        <w:rPr>
          <w:rStyle w:val="SectionNumber"/>
        </w:rPr>
        <w:t xml:space="preserve">2.3.2</w:t>
      </w:r>
      <w:r>
        <w:tab/>
      </w:r>
      <w:r>
        <w:t xml:space="preserve">Italics and bold</w:t>
      </w:r>
    </w:p>
    <w:p>
      <w:pPr>
        <w:numPr>
          <w:ilvl w:val="0"/>
          <w:numId w:val="1003"/>
        </w:numPr>
        <w:pStyle w:val="Compact"/>
      </w:pPr>
      <w:r>
        <w:rPr>
          <w:iCs/>
          <w:i/>
        </w:rPr>
        <w:t xml:space="preserve">Italics</w:t>
      </w:r>
      <w:r>
        <w:t xml:space="preserve"> </w:t>
      </w:r>
      <w:r>
        <w:t xml:space="preserve">are done like *this* or _this_</w:t>
      </w:r>
    </w:p>
    <w:p>
      <w:pPr>
        <w:numPr>
          <w:ilvl w:val="0"/>
          <w:numId w:val="1003"/>
        </w:numPr>
        <w:pStyle w:val="Compact"/>
      </w:pPr>
      <w:r>
        <w:rPr>
          <w:bCs/>
          <w:b/>
        </w:rPr>
        <w:t xml:space="preserve">Bold</w:t>
      </w:r>
      <w:r>
        <w:t xml:space="preserve"> </w:t>
      </w:r>
      <w:r>
        <w:t xml:space="preserve">is done like **this** or __this__</w:t>
      </w:r>
    </w:p>
    <w:p>
      <w:pPr>
        <w:numPr>
          <w:ilvl w:val="0"/>
          <w:numId w:val="1003"/>
        </w:numPr>
        <w:pStyle w:val="Compact"/>
      </w:pPr>
      <w:r>
        <w:rPr>
          <w:iCs/>
          <w:i/>
          <w:bCs/>
          <w:b/>
        </w:rPr>
        <w:t xml:space="preserve">Bold and italics</w:t>
      </w:r>
      <w:r>
        <w:t xml:space="preserve"> </w:t>
      </w:r>
      <w:r>
        <w:t xml:space="preserve">is done like ***this***, ___this___, or (the most transparent solution, in my opinion) **_this_**</w:t>
      </w:r>
    </w:p>
    <w:bookmarkEnd w:id="49"/>
    <w:bookmarkStart w:id="51" w:name="hyperlinks"/>
    <w:p>
      <w:pPr>
        <w:pStyle w:val="Heading3"/>
      </w:pPr>
      <w:r>
        <w:rPr>
          <w:rStyle w:val="SectionNumber"/>
        </w:rPr>
        <w:t xml:space="preserve">2.3.3</w:t>
      </w:r>
      <w:r>
        <w:tab/>
      </w:r>
      <w:r>
        <w:t xml:space="preserve">Hyperlinks</w:t>
      </w:r>
    </w:p>
    <w:p>
      <w:pPr>
        <w:numPr>
          <w:ilvl w:val="0"/>
          <w:numId w:val="1004"/>
        </w:numPr>
        <w:pStyle w:val="Compact"/>
      </w:pPr>
      <w:hyperlink r:id="rId50">
        <w:r>
          <w:rPr>
            <w:rStyle w:val="Hyperlink"/>
          </w:rPr>
          <w:t xml:space="preserve">This is a hyperlink</w:t>
        </w:r>
      </w:hyperlink>
      <w:r>
        <w:t xml:space="preserve"> </w:t>
      </w:r>
      <w:r>
        <w:t xml:space="preserve">created by writing the text you want turned into a clickable link in</w:t>
      </w:r>
      <w:r>
        <w:t xml:space="preserve"> </w:t>
      </w:r>
      <w:r>
        <w:rPr>
          <w:rStyle w:val="VerbatimChar"/>
        </w:rPr>
        <w:t xml:space="preserve">[square brackets followed by a](https://hyperlink-in-parentheses)</w:t>
      </w:r>
    </w:p>
    <w:bookmarkEnd w:id="51"/>
    <w:bookmarkStart w:id="54" w:name="footnotes"/>
    <w:p>
      <w:pPr>
        <w:pStyle w:val="Heading3"/>
      </w:pPr>
      <w:r>
        <w:rPr>
          <w:rStyle w:val="SectionNumber"/>
        </w:rPr>
        <w:t xml:space="preserve">2.3.4</w:t>
      </w:r>
      <w:r>
        <w:tab/>
      </w:r>
      <w:r>
        <w:t xml:space="preserve">Footnotes</w:t>
      </w:r>
    </w:p>
    <w:p>
      <w:pPr>
        <w:numPr>
          <w:ilvl w:val="0"/>
          <w:numId w:val="1005"/>
        </w:numPr>
        <w:pStyle w:val="Compact"/>
      </w:pPr>
      <w:r>
        <w:t xml:space="preserve">Are created</w:t>
      </w:r>
      <w:r>
        <w:rPr>
          <w:rStyle w:val="FootnoteReference"/>
        </w:rPr>
        <w:footnoteReference w:id="52"/>
      </w:r>
      <w:r>
        <w:t xml:space="preserve"> </w:t>
      </w:r>
      <w:r>
        <w:t xml:space="preserve">by writing either ^[my footnote text] for supplying the footnote content inline, or something like</w:t>
      </w:r>
      <w:r>
        <w:t xml:space="preserve"> </w:t>
      </w:r>
      <w:r>
        <w:rPr>
          <w:rStyle w:val="VerbatimChar"/>
        </w:rPr>
        <w:t xml:space="preserve">[^a-random-footnote-label]</w:t>
      </w:r>
      <w:r>
        <w:t xml:space="preserve"> </w:t>
      </w:r>
      <w:r>
        <w:t xml:space="preserve">and supplying the text elsewhere in the format shown below</w:t>
      </w:r>
      <w:r>
        <w:t xml:space="preserve"> </w:t>
      </w:r>
      <w:r>
        <w:rPr>
          <w:rStyle w:val="FootnoteReference"/>
        </w:rPr>
        <w:footnoteReference w:id="53"/>
      </w:r>
      <w:r>
        <w:t xml:space="preserve">:</w:t>
      </w:r>
    </w:p>
    <w:p>
      <w:pPr>
        <w:pStyle w:val="FirstParagraph"/>
      </w:pPr>
      <w:r>
        <w:rPr>
          <w:rStyle w:val="VerbatimChar"/>
        </w:rPr>
        <w:t xml:space="preserve">[^a-random-footnote-label]: This is a random test.</w:t>
      </w:r>
    </w:p>
    <w:bookmarkEnd w:id="54"/>
    <w:bookmarkStart w:id="64" w:name="comments"/>
    <w:p>
      <w:pPr>
        <w:pStyle w:val="Heading3"/>
      </w:pPr>
      <w:r>
        <w:rPr>
          <w:rStyle w:val="SectionNumber"/>
        </w:rPr>
        <w:t xml:space="preserve">2.3.5</w:t>
      </w:r>
      <w:r>
        <w:tab/>
      </w:r>
      <w:r>
        <w:t xml:space="preserve">Comments</w:t>
      </w:r>
    </w:p>
    <w:p>
      <w:pPr>
        <w:pStyle w:val="FirstParagraph"/>
      </w:pPr>
      <w:r>
        <w:t xml:space="preserve">To write comments within your text that won’t actually be included in the output, use the same syntax as for writing comments in HTML.</w:t>
      </w:r>
      <w:r>
        <w:t xml:space="preserve"> </w:t>
      </w:r>
      <w:r>
        <w:t xml:space="preserve">That is,</w:t>
      </w:r>
      <w:r>
        <w:t xml:space="preserve"> </w:t>
      </w:r>
      <w:r>
        <w:t xml:space="preserve">.</w:t>
      </w:r>
    </w:p>
    <w:p>
      <w:pPr>
        <w:pStyle w:val="CaptionedFigure"/>
      </w:pPr>
      <w:r>
        <w:drawing>
          <wp:inline>
            <wp:extent cx="5334000" cy="2026214"/>
            <wp:effectExtent b="0" l="0" r="0" t="0"/>
            <wp:docPr descr="Figure 2.1: Code chunk syntax" title="" id="56" name="Picture"/>
            <a:graphic>
              <a:graphicData uri="http://schemas.openxmlformats.org/drawingml/2006/picture">
                <pic:pic>
                  <pic:nvPicPr>
                    <pic:cNvPr descr="figures/sample-content/chunk-parts.png" id="57" name="Picture"/>
                    <pic:cNvPicPr>
                      <a:picLocks noChangeArrowheads="1" noChangeAspect="1"/>
                    </pic:cNvPicPr>
                  </pic:nvPicPr>
                  <pic:blipFill>
                    <a:blip r:embed="rId55"/>
                    <a:stretch>
                      <a:fillRect/>
                    </a:stretch>
                  </pic:blipFill>
                  <pic:spPr bwMode="auto">
                    <a:xfrm>
                      <a:off x="0" y="0"/>
                      <a:ext cx="5334000" cy="2026214"/>
                    </a:xfrm>
                    <a:prstGeom prst="rect">
                      <a:avLst/>
                    </a:prstGeom>
                    <a:noFill/>
                    <a:ln w="9525">
                      <a:noFill/>
                      <a:headEnd/>
                      <a:tailEnd/>
                    </a:ln>
                  </pic:spPr>
                </pic:pic>
              </a:graphicData>
            </a:graphic>
          </wp:inline>
        </w:drawing>
      </w:r>
    </w:p>
    <w:p>
      <w:pPr>
        <w:pStyle w:val="ImageCaption"/>
      </w:pPr>
      <w:r>
        <w:t xml:space="preserve">Figure 2.1: Code chunk syntax</w:t>
      </w:r>
    </w:p>
    <w:p>
      <w:pPr>
        <w:pStyle w:val="BodyText"/>
      </w:pPr>
      <w:r>
        <w:t xml:space="preserve">Code chunks are also used for including images, with</w:t>
      </w:r>
      <w:r>
        <w:t xml:space="preserve"> </w:t>
      </w:r>
      <w:r>
        <w:rPr>
          <w:rStyle w:val="VerbatimChar"/>
        </w:rPr>
        <w:t xml:space="preserve">include_graphics</w:t>
      </w:r>
      <w:r>
        <w:t xml:space="preserve"> </w:t>
      </w:r>
      <w:r>
        <w:t xml:space="preserve">from the</w:t>
      </w:r>
      <w:r>
        <w:t xml:space="preserve"> </w:t>
      </w:r>
      <w:r>
        <w:rPr>
          <w:rStyle w:val="VerbatimChar"/>
        </w:rPr>
        <w:t xml:space="preserve">knitr</w:t>
      </w:r>
      <w:r>
        <w:t xml:space="preserve"> </w:t>
      </w:r>
      <w:r>
        <w:t xml:space="preserve">package, as in Figure</w:t>
      </w:r>
      <w:r>
        <w:t xml:space="preserve"> </w:t>
      </w:r>
      <w:r>
        <w:t xml:space="preserve">2.2</w:t>
      </w:r>
    </w:p>
    <w:p>
      <w:pPr>
        <w:pStyle w:val="CaptionedFigure"/>
      </w:pPr>
      <w:r>
        <w:drawing>
          <wp:inline>
            <wp:extent cx="2857500" cy="2857500"/>
            <wp:effectExtent b="0" l="0" r="0" t="0"/>
            <wp:docPr descr="Figure 2.2: Oxford logo" title="" id="59" name="Picture"/>
            <a:graphic>
              <a:graphicData uri="http://schemas.openxmlformats.org/drawingml/2006/picture">
                <pic:pic>
                  <pic:nvPicPr>
                    <pic:cNvPr descr="templates/download.png" id="60" name="Picture"/>
                    <pic:cNvPicPr>
                      <a:picLocks noChangeArrowheads="1" noChangeAspect="1"/>
                    </pic:cNvPicPr>
                  </pic:nvPicPr>
                  <pic:blipFill>
                    <a:blip r:embed="rId58"/>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Figure 2.2: Oxford logo</w:t>
      </w:r>
    </w:p>
    <w:p>
      <w:pPr>
        <w:pStyle w:val="BodyText"/>
      </w:pPr>
      <w:r>
        <w:t xml:space="preserve">Useful chunk options for figures include:</w:t>
      </w:r>
    </w:p>
    <w:p>
      <w:pPr>
        <w:numPr>
          <w:ilvl w:val="0"/>
          <w:numId w:val="1006"/>
        </w:numPr>
        <w:pStyle w:val="Compact"/>
      </w:pPr>
      <w:r>
        <w:rPr>
          <w:rStyle w:val="VerbatimChar"/>
        </w:rPr>
        <w:t xml:space="preserve">out.width</w:t>
      </w:r>
      <w:r>
        <w:t xml:space="preserve"> </w:t>
      </w:r>
      <w:r>
        <w:t xml:space="preserve">(use with a percentage) for setting the image size</w:t>
      </w:r>
    </w:p>
    <w:p>
      <w:pPr>
        <w:numPr>
          <w:ilvl w:val="0"/>
          <w:numId w:val="1006"/>
        </w:numPr>
        <w:pStyle w:val="Compact"/>
      </w:pPr>
      <w:r>
        <w:t xml:space="preserve">if you’ve got an image that gets waaay to big in your output, it will be constrained to the page width by setting</w:t>
      </w:r>
      <w:r>
        <w:t xml:space="preserve"> </w:t>
      </w:r>
      <w:r>
        <w:rPr>
          <w:rStyle w:val="VerbatimChar"/>
        </w:rPr>
        <w:t xml:space="preserve">out.width = "100%"</w:t>
      </w:r>
    </w:p>
    <w:bookmarkStart w:id="63" w:name="figure-rotation"/>
    <w:p>
      <w:pPr>
        <w:pStyle w:val="Heading4"/>
      </w:pPr>
      <w:r>
        <w:t xml:space="preserve">Figure rotation</w:t>
      </w:r>
    </w:p>
    <w:p>
      <w:pPr>
        <w:pStyle w:val="FirstParagraph"/>
      </w:pPr>
      <w:r>
        <w:t xml:space="preserve">You can use the chunk option</w:t>
      </w:r>
      <w:r>
        <w:t xml:space="preserve"> </w:t>
      </w:r>
      <w:r>
        <w:rPr>
          <w:rStyle w:val="VerbatimChar"/>
        </w:rPr>
        <w:t xml:space="preserve">out.extra</w:t>
      </w:r>
      <w:r>
        <w:t xml:space="preserve"> </w:t>
      </w:r>
      <w:r>
        <w:t xml:space="preserve">to rotate images.</w:t>
      </w:r>
    </w:p>
    <w:p>
      <w:pPr>
        <w:pStyle w:val="BodyText"/>
      </w:pPr>
      <w:r>
        <w:t xml:space="preserve">The syntax is different for LaTeX and HTML, so for ease we might start by assigning the right string to a variable that depends on the format you’re outputting to:</w:t>
      </w:r>
    </w:p>
    <w:p>
      <w:pPr>
        <w:pStyle w:val="BodyText"/>
      </w:pPr>
      <w:r>
        <w:t xml:space="preserve">Then you can reference that variable as the value of</w:t>
      </w:r>
      <w:r>
        <w:t xml:space="preserve"> </w:t>
      </w:r>
      <w:r>
        <w:rPr>
          <w:rStyle w:val="VerbatimChar"/>
        </w:rPr>
        <w:t xml:space="preserve">out.extra</w:t>
      </w:r>
      <w:r>
        <w:t xml:space="preserve"> </w:t>
      </w:r>
      <w:r>
        <w:t xml:space="preserve">to rotate images, as in Figure</w:t>
      </w:r>
      <w:r>
        <w:t xml:space="preserve"> </w:t>
      </w:r>
      <w:r>
        <w:t xml:space="preserve">2.3</w:t>
      </w:r>
      <w:r>
        <w:t xml:space="preserve">.</w:t>
      </w:r>
    </w:p>
    <w:p>
      <w:pPr>
        <w:pStyle w:val="CaptionedFigure"/>
      </w:pPr>
      <w:r>
        <w:drawing>
          <wp:inline>
            <wp:extent cx="2857500" cy="2857500"/>
            <wp:effectExtent b="0" l="0" r="0" t="0"/>
            <wp:docPr descr="Figure 2.3: Oxford logo, rotated" title="" id="61" name="Picture"/>
            <a:graphic>
              <a:graphicData uri="http://schemas.openxmlformats.org/drawingml/2006/picture">
                <pic:pic>
                  <pic:nvPicPr>
                    <pic:cNvPr descr="templates/download.png" id="62" name="Picture"/>
                    <pic:cNvPicPr>
                      <a:picLocks noChangeArrowheads="1" noChangeAspect="1"/>
                    </pic:cNvPicPr>
                  </pic:nvPicPr>
                  <pic:blipFill>
                    <a:blip r:embed="rId58"/>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Figure 2.3: Oxford logo, rotated</w:t>
      </w:r>
    </w:p>
    <w:bookmarkEnd w:id="63"/>
    <w:bookmarkEnd w:id="64"/>
    <w:bookmarkStart w:id="68" w:name="including-plots"/>
    <w:p>
      <w:pPr>
        <w:pStyle w:val="Heading3"/>
      </w:pPr>
      <w:r>
        <w:rPr>
          <w:rStyle w:val="SectionNumber"/>
        </w:rPr>
        <w:t xml:space="preserve">2.3.6</w:t>
      </w:r>
      <w:r>
        <w:tab/>
      </w:r>
      <w:r>
        <w:t xml:space="preserve">Including plots</w:t>
      </w:r>
    </w:p>
    <w:p>
      <w:pPr>
        <w:pStyle w:val="FirstParagraph"/>
      </w:pPr>
      <w:r>
        <w:t xml:space="preserve">Similarly, code chunks are used for including dynamically generated plots.</w:t>
      </w:r>
      <w:r>
        <w:t xml:space="preserve"> </w:t>
      </w:r>
      <w:r>
        <w:t xml:space="preserve">You use ordinary code in R or other languages - Figure</w:t>
      </w:r>
      <w:r>
        <w:t xml:space="preserve"> </w:t>
      </w:r>
      <w:r>
        <w:t xml:space="preserve">2.4</w:t>
      </w:r>
      <w:r>
        <w:t xml:space="preserve"> </w:t>
      </w:r>
      <w:r>
        <w:t xml:space="preserve">shows a plot of the</w:t>
      </w:r>
      <w:r>
        <w:t xml:space="preserve"> </w:t>
      </w:r>
      <w:r>
        <w:rPr>
          <w:rStyle w:val="VerbatimChar"/>
        </w:rPr>
        <w:t xml:space="preserve">cars</w:t>
      </w:r>
      <w:r>
        <w:t xml:space="preserve"> </w:t>
      </w:r>
      <w:r>
        <w:t xml:space="preserve">dataset of stopping distances for cars at various speeds (this dataset is built in to</w:t>
      </w:r>
      <w:r>
        <w:t xml:space="preserve"> </w:t>
      </w:r>
      <w:r>
        <w:rPr>
          <w:bCs/>
          <w:b/>
        </w:rPr>
        <w:t xml:space="preserve">R</w:t>
      </w:r>
      <w:r>
        <w:t xml:space="preserve">).</w:t>
      </w:r>
    </w:p>
    <w:p>
      <w:pPr>
        <w:pStyle w:val="CaptionedFigure"/>
      </w:pPr>
      <w:r>
        <w:drawing>
          <wp:inline>
            <wp:extent cx="4620126" cy="3696101"/>
            <wp:effectExtent b="0" l="0" r="0" t="0"/>
            <wp:docPr descr="Figure 2.4: A ggplot of car stuff" title="" id="66" name="Picture"/>
            <a:graphic>
              <a:graphicData uri="http://schemas.openxmlformats.org/drawingml/2006/picture">
                <pic:pic>
                  <pic:nvPicPr>
                    <pic:cNvPr descr="_main_files/figure-docx/cars-plot-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A ggplot of car stuff</w:t>
      </w:r>
    </w:p>
    <w:p>
      <w:pPr>
        <w:pStyle w:val="BodyText"/>
      </w:pPr>
      <w:r>
        <w:t xml:space="preserve">Under the hood, plots are included in your document in the same way as images - when you build the book or knit a chapter, the plot is automatically generated from your code, saved as an image, then included into the output document.</w:t>
      </w:r>
    </w:p>
    <w:bookmarkEnd w:id="68"/>
    <w:bookmarkStart w:id="71" w:name="including-tables"/>
    <w:p>
      <w:pPr>
        <w:pStyle w:val="Heading3"/>
      </w:pPr>
      <w:r>
        <w:rPr>
          <w:rStyle w:val="SectionNumber"/>
        </w:rPr>
        <w:t xml:space="preserve">2.3.7</w:t>
      </w:r>
      <w:r>
        <w:tab/>
      </w:r>
      <w:r>
        <w:t xml:space="preserve">Including tables</w:t>
      </w:r>
    </w:p>
    <w:p>
      <w:pPr>
        <w:pStyle w:val="FirstParagraph"/>
      </w:pPr>
      <w:r>
        <w:t xml:space="preserve">Tables are usually included with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p>
    <w:p>
      <w:pPr>
        <w:pStyle w:val="BodyText"/>
      </w:pPr>
      <w:r>
        <w:t xml:space="preserve">Table</w:t>
      </w:r>
      <w:r>
        <w:t xml:space="preserve"> </w:t>
      </w:r>
      <w:r>
        <w:t xml:space="preserve">??</w:t>
      </w:r>
      <w:r>
        <w:t xml:space="preserve"> </w:t>
      </w:r>
      <w:r>
        <w:t xml:space="preserve">shows the first rows of that cars data - read in your own data, then use this approach to automatically generate tables.</w:t>
      </w:r>
    </w:p>
    <w:p>
      <w:pPr>
        <w:numPr>
          <w:ilvl w:val="0"/>
          <w:numId w:val="1007"/>
        </w:numPr>
        <w:pStyle w:val="Compact"/>
      </w:pPr>
      <w:r>
        <w:t xml:space="preserve">Gotcha: when using</w:t>
      </w:r>
      <w:r>
        <w:t xml:space="preserve"> </w:t>
      </w:r>
      <w:hyperlink r:id="rId69">
        <w:r>
          <w:rPr>
            <w:rStyle w:val="VerbatimChar"/>
          </w:rPr>
          <w:t xml:space="preserve">kable</w:t>
        </w:r>
      </w:hyperlink>
      <w:r>
        <w:t xml:space="preserve">, captions are set inside the</w:t>
      </w:r>
      <w:r>
        <w:t xml:space="preserve"> </w:t>
      </w:r>
      <w:r>
        <w:rPr>
          <w:rStyle w:val="VerbatimChar"/>
        </w:rPr>
        <w:t xml:space="preserve">kable</w:t>
      </w:r>
      <w:r>
        <w:t xml:space="preserve"> </w:t>
      </w:r>
      <w:r>
        <w:t xml:space="preserve">function</w:t>
      </w:r>
    </w:p>
    <w:p>
      <w:pPr>
        <w:numPr>
          <w:ilvl w:val="0"/>
          <w:numId w:val="1007"/>
        </w:numPr>
        <w:pStyle w:val="Compact"/>
      </w:pPr>
      <w:r>
        <w:t xml:space="preserve">The</w:t>
      </w:r>
      <w:r>
        <w:t xml:space="preserve"> </w:t>
      </w:r>
      <w:r>
        <w:rPr>
          <w:rStyle w:val="VerbatimChar"/>
        </w:rPr>
        <w:t xml:space="preserve">kable</w:t>
      </w:r>
      <w:r>
        <w:t xml:space="preserve"> </w:t>
      </w:r>
      <w:r>
        <w:t xml:space="preserve">package is often used with the</w:t>
      </w:r>
      <w:r>
        <w:t xml:space="preserve"> </w:t>
      </w:r>
      <w:hyperlink r:id="rId70">
        <w:r>
          <w:rPr>
            <w:rStyle w:val="VerbatimChar"/>
          </w:rPr>
          <w:t xml:space="preserve">kableExtra</w:t>
        </w:r>
      </w:hyperlink>
      <w:r>
        <w:t xml:space="preserve"> </w:t>
      </w:r>
      <w:r>
        <w:t xml:space="preserve">package</w:t>
      </w:r>
    </w:p>
    <w:bookmarkEnd w:id="71"/>
    <w:bookmarkStart w:id="76" w:name="control-positioning"/>
    <w:p>
      <w:pPr>
        <w:pStyle w:val="Heading3"/>
      </w:pPr>
      <w:r>
        <w:rPr>
          <w:rStyle w:val="SectionNumber"/>
        </w:rPr>
        <w:t xml:space="preserve">2.3.8</w:t>
      </w:r>
      <w:r>
        <w:tab/>
      </w:r>
      <w:r>
        <w:t xml:space="preserve">Control positioning</w:t>
      </w:r>
    </w:p>
    <w:p>
      <w:pPr>
        <w:pStyle w:val="FirstParagraph"/>
      </w:pPr>
      <w:r>
        <w:t xml:space="preserve">One thing that may be annoying is the way</w:t>
      </w:r>
      <w:r>
        <w:t xml:space="preserve"> </w:t>
      </w:r>
      <w:r>
        <w:rPr>
          <w:iCs/>
          <w:i/>
        </w:rPr>
        <w:t xml:space="preserve">R Markdown</w:t>
      </w:r>
      <w:r>
        <w:t xml:space="preserve"> </w:t>
      </w:r>
      <w:r>
        <w:t xml:space="preserve">handles</w:t>
      </w:r>
      <w:r>
        <w:t xml:space="preserve"> </w:t>
      </w:r>
      <w:r>
        <w:t xml:space="preserve">“</w:t>
      </w:r>
      <w:r>
        <w:t xml:space="preserve">floats</w:t>
      </w:r>
      <w:r>
        <w:t xml:space="preserve">”</w:t>
      </w:r>
      <w:r>
        <w:t xml:space="preserve"> </w:t>
      </w:r>
      <w:r>
        <w:t xml:space="preserve">like tables and figures.</w:t>
      </w:r>
      <w:r>
        <w:t xml:space="preserve"> </w:t>
      </w:r>
      <w:r>
        <w:t xml:space="preserve">In your PDF output, LaTeX will try to find the best place to put your object based on the text around it and until you’re really, truly done writing you should just leave it where it lies.</w:t>
      </w:r>
    </w:p>
    <w:p>
      <w:pPr>
        <w:pStyle w:val="BodyText"/>
      </w:pPr>
      <w:r>
        <w:t xml:space="preserve">In general, you should allow LaTeX to do this, but if you really</w:t>
      </w:r>
      <w:r>
        <w:t xml:space="preserve"> </w:t>
      </w:r>
      <w:r>
        <w:rPr>
          <w:iCs/>
          <w:i/>
        </w:rPr>
        <w:t xml:space="preserve">really</w:t>
      </w:r>
      <w:r>
        <w:t xml:space="preserve"> </w:t>
      </w:r>
      <w:r>
        <w:t xml:space="preserve">need a figure to be positioned where you put in the document, then you can make LaTeX attempt to do this with the chunk option</w:t>
      </w:r>
      <w:r>
        <w:t xml:space="preserve"> </w:t>
      </w:r>
      <w:r>
        <w:rPr>
          <w:rStyle w:val="VerbatimChar"/>
        </w:rPr>
        <w:t xml:space="preserve">fig.pos="H"</w:t>
      </w:r>
      <w:r>
        <w:t xml:space="preserve">, as in Figure</w:t>
      </w:r>
      <w:r>
        <w:t xml:space="preserve"> </w:t>
      </w:r>
      <w:r>
        <w:t xml:space="preserve">2.5</w:t>
      </w:r>
      <w:r>
        <w:t xml:space="preserve">:</w:t>
      </w:r>
    </w:p>
    <w:p>
      <w:pPr>
        <w:pStyle w:val="CaptionedFigure"/>
      </w:pPr>
      <w:r>
        <w:drawing>
          <wp:inline>
            <wp:extent cx="1474641" cy="1767738"/>
            <wp:effectExtent b="0" l="0" r="0" t="0"/>
            <wp:docPr descr="Figure 2.5: An Oxford logo that LaTeX will try to place at this position in the text" title="" id="73" name="Picture"/>
            <a:graphic>
              <a:graphicData uri="http://schemas.openxmlformats.org/drawingml/2006/picture">
                <pic:pic>
                  <pic:nvPicPr>
                    <pic:cNvPr descr="figures/sample-content/beltcrest.png" id="74" name="Picture"/>
                    <pic:cNvPicPr>
                      <a:picLocks noChangeArrowheads="1" noChangeAspect="1"/>
                    </pic:cNvPicPr>
                  </pic:nvPicPr>
                  <pic:blipFill>
                    <a:blip r:embed="rId72"/>
                    <a:stretch>
                      <a:fillRect/>
                    </a:stretch>
                  </pic:blipFill>
                  <pic:spPr bwMode="auto">
                    <a:xfrm>
                      <a:off x="0" y="0"/>
                      <a:ext cx="1474641" cy="1767738"/>
                    </a:xfrm>
                    <a:prstGeom prst="rect">
                      <a:avLst/>
                    </a:prstGeom>
                    <a:noFill/>
                    <a:ln w="9525">
                      <a:noFill/>
                      <a:headEnd/>
                      <a:tailEnd/>
                    </a:ln>
                  </pic:spPr>
                </pic:pic>
              </a:graphicData>
            </a:graphic>
          </wp:inline>
        </w:drawing>
      </w:r>
    </w:p>
    <w:p>
      <w:pPr>
        <w:pStyle w:val="ImageCaption"/>
      </w:pPr>
      <w:r>
        <w:t xml:space="preserve">Figure 2.5: An Oxford logo that LaTeX will try to place at this position in the text</w:t>
      </w:r>
    </w:p>
    <w:p>
      <w:pPr>
        <w:pStyle w:val="BodyText"/>
      </w:pPr>
      <w:r>
        <w:t xml:space="preserve">As anyone who has tried to manually play around with the placement of figures in a Word document knows, this can have lots of side effects with extra spacing on other pages, etc.</w:t>
      </w:r>
      <w:r>
        <w:t xml:space="preserve"> </w:t>
      </w:r>
      <w:r>
        <w:t xml:space="preserve">Therefore, it is not generally a good idea to do this - only do it when you really need to ensure that an image follows directly under text where you refer to it (in this document, I needed to do this for Figure</w:t>
      </w:r>
      <w:r>
        <w:t xml:space="preserve"> </w:t>
      </w:r>
      <w:r>
        <w:t xml:space="preserve">5.1</w:t>
      </w:r>
      <w:r>
        <w:t xml:space="preserve"> </w:t>
      </w:r>
      <w:r>
        <w:t xml:space="preserve">in section</w:t>
      </w:r>
      <w:r>
        <w:t xml:space="preserve"> </w:t>
      </w:r>
      <w:r>
        <w:t xml:space="preserve">5.1.4</w:t>
      </w:r>
      <w:r>
        <w:t xml:space="preserve">).</w:t>
      </w:r>
      <w:r>
        <w:t xml:space="preserve"> </w:t>
      </w:r>
      <w:r>
        <w:t xml:space="preserve">For more details, read the relevant section of the</w:t>
      </w:r>
      <w:r>
        <w:t xml:space="preserve"> </w:t>
      </w:r>
      <w:hyperlink r:id="rId75">
        <w:r>
          <w:rPr>
            <w:rStyle w:val="Hyperlink"/>
          </w:rPr>
          <w:t xml:space="preserve">R Markdown Cookbook</w:t>
        </w:r>
      </w:hyperlink>
      <w:r>
        <w:t xml:space="preserve">.</w:t>
      </w:r>
    </w:p>
    <w:bookmarkEnd w:id="76"/>
    <w:bookmarkEnd w:id="77"/>
    <w:bookmarkStart w:id="78" w:name="executable-inline-code"/>
    <w:p>
      <w:pPr>
        <w:pStyle w:val="Heading2"/>
      </w:pPr>
      <w:r>
        <w:rPr>
          <w:rStyle w:val="SectionNumber"/>
        </w:rPr>
        <w:t xml:space="preserve">2.4</w:t>
      </w:r>
      <w:r>
        <w:tab/>
      </w:r>
      <w:r>
        <w:t xml:space="preserve">Executable inline code</w:t>
      </w:r>
    </w:p>
    <w:p>
      <w:pPr>
        <w:pStyle w:val="FirstParagraph"/>
      </w:pPr>
      <w:r>
        <w:t xml:space="preserve">‘</w:t>
      </w:r>
      <w:r>
        <w:t xml:space="preserve">Inline code</w:t>
      </w:r>
      <w:r>
        <w:t xml:space="preserve">’</w:t>
      </w:r>
      <w:r>
        <w:t xml:space="preserve"> </w:t>
      </w:r>
      <w:r>
        <w:t xml:space="preserve">simply means inclusion of code inside text.</w:t>
      </w:r>
      <w:r>
        <w:t xml:space="preserve"> </w:t>
      </w:r>
      <w:r>
        <w:t xml:space="preserve">The syntax for doing this is</w:t>
      </w:r>
      <w:r>
        <w:t xml:space="preserve"> </w:t>
      </w:r>
      <w:r>
        <w:rPr>
          <w:rStyle w:val="VerbatimChar"/>
        </w:rPr>
        <w:t xml:space="preserve">`r R_CODE`</w:t>
      </w:r>
      <w:r>
        <w:t xml:space="preserve"> </w:t>
      </w:r>
      <w:r>
        <w:t xml:space="preserve">For example,</w:t>
      </w:r>
      <w:r>
        <w:t xml:space="preserve"> </w:t>
      </w:r>
      <w:r>
        <w:rPr>
          <w:rStyle w:val="VerbatimChar"/>
        </w:rPr>
        <w:t xml:space="preserve">`r 4 + 4`</w:t>
      </w:r>
      <w:r>
        <w:t xml:space="preserve"> </w:t>
      </w:r>
      <w:r>
        <w:t xml:space="preserve">will output 8 in your text.</w:t>
      </w:r>
    </w:p>
    <w:p>
      <w:pPr>
        <w:pStyle w:val="BodyText"/>
      </w:pPr>
      <w:r>
        <w:t xml:space="preserve">You will usually use this in parts of your thesis where you report results - read in data or results in a code chunk, store things you want to report in a variable, then insert the value of that variable in your text.</w:t>
      </w:r>
      <w:r>
        <w:t xml:space="preserve"> </w:t>
      </w:r>
      <w:r>
        <w:t xml:space="preserve">For example, we might assign the number of rows in the</w:t>
      </w:r>
      <w:r>
        <w:t xml:space="preserve"> </w:t>
      </w:r>
      <w:r>
        <w:rPr>
          <w:rStyle w:val="VerbatimChar"/>
        </w:rPr>
        <w:t xml:space="preserve">cars</w:t>
      </w:r>
      <w:r>
        <w:t xml:space="preserve"> </w:t>
      </w:r>
      <w:r>
        <w:t xml:space="preserve">dataset to a variable:</w:t>
      </w:r>
    </w:p>
    <w:p>
      <w:pPr>
        <w:pStyle w:val="BodyText"/>
      </w:pPr>
      <w:r>
        <w:t xml:space="preserve">We might then write:</w:t>
      </w:r>
      <w:r>
        <w:br/>
      </w:r>
      <w:r>
        <w:t xml:space="preserve">“</w:t>
      </w:r>
      <w:r>
        <w:t xml:space="preserve">In the</w:t>
      </w:r>
      <w:r>
        <w:t xml:space="preserve"> </w:t>
      </w:r>
      <w:r>
        <w:rPr>
          <w:rStyle w:val="VerbatimChar"/>
        </w:rPr>
        <w:t xml:space="preserve">cars</w:t>
      </w:r>
      <w:r>
        <w:t xml:space="preserve"> </w:t>
      </w:r>
      <w:r>
        <w:t xml:space="preserve">dataset, we have</w:t>
      </w:r>
      <w:r>
        <w:t xml:space="preserve"> </w:t>
      </w:r>
      <w:r>
        <w:rPr>
          <w:rStyle w:val="VerbatimChar"/>
        </w:rPr>
        <w:t xml:space="preserve">`r num_car_observations`</w:t>
      </w:r>
      <w:r>
        <w:t xml:space="preserve"> </w:t>
      </w:r>
      <w:r>
        <w:t xml:space="preserve">observations.</w:t>
      </w:r>
      <w:r>
        <w:t xml:space="preserve">”</w:t>
      </w:r>
    </w:p>
    <w:p>
      <w:pPr>
        <w:pStyle w:val="BodyText"/>
      </w:pPr>
      <w:r>
        <w:t xml:space="preserve">Which would output:</w:t>
      </w:r>
      <w:r>
        <w:br/>
      </w:r>
      <w:r>
        <w:t xml:space="preserve">“</w:t>
      </w:r>
      <w:r>
        <w:t xml:space="preserve">In the</w:t>
      </w:r>
      <w:r>
        <w:t xml:space="preserve"> </w:t>
      </w:r>
      <w:r>
        <w:rPr>
          <w:rStyle w:val="VerbatimChar"/>
        </w:rPr>
        <w:t xml:space="preserve">cars</w:t>
      </w:r>
      <w:r>
        <w:t xml:space="preserve"> </w:t>
      </w:r>
      <w:r>
        <w:t xml:space="preserve">dataset, we have 50 observations.</w:t>
      </w:r>
      <w:r>
        <w:t xml:space="preserve">”</w:t>
      </w:r>
    </w:p>
    <w:bookmarkEnd w:id="78"/>
    <w:bookmarkStart w:id="80" w:name="X6aee085a2a76215d567278497bbf99bba1bd85e"/>
    <w:p>
      <w:pPr>
        <w:pStyle w:val="Heading2"/>
      </w:pPr>
      <w:r>
        <w:rPr>
          <w:rStyle w:val="SectionNumber"/>
        </w:rPr>
        <w:t xml:space="preserve">2.5</w:t>
      </w:r>
      <w:r>
        <w:tab/>
      </w:r>
      <w:r>
        <w:t xml:space="preserve">Executable code in other languages than R</w:t>
      </w:r>
    </w:p>
    <w:p>
      <w:pPr>
        <w:pStyle w:val="FirstParagraph"/>
      </w:pPr>
      <w:r>
        <w:t xml:space="preserve">If you want to use other languages than R, such as Python, Julia C++, or SQL, see</w:t>
      </w:r>
      <w:r>
        <w:t xml:space="preserve"> </w:t>
      </w:r>
      <w:hyperlink r:id="rId79">
        <w:r>
          <w:rPr>
            <w:rStyle w:val="Hyperlink"/>
          </w:rPr>
          <w:t xml:space="preserve">the relevant section of the</w:t>
        </w:r>
        <w:r>
          <w:rPr>
            <w:rStyle w:val="Hyperlink"/>
          </w:rPr>
          <w:t xml:space="preserve"> </w:t>
        </w:r>
        <w:r>
          <w:rPr>
            <w:rStyle w:val="Hyperlink"/>
            <w:iCs/>
            <w:i/>
          </w:rPr>
          <w:t xml:space="preserve">R Markdown Cookbook</w:t>
        </w:r>
      </w:hyperlink>
    </w:p>
    <w:bookmarkEnd w:id="80"/>
    <w:bookmarkEnd w:id="81"/>
    <w:bookmarkStart w:id="83" w:name="cites-and-refs"/>
    <w:p>
      <w:pPr>
        <w:pStyle w:val="Heading1"/>
      </w:pPr>
      <w:r>
        <w:rPr>
          <w:rStyle w:val="SectionNumber"/>
        </w:rPr>
        <w:t xml:space="preserve">3</w:t>
      </w:r>
      <w:r>
        <w:tab/>
      </w:r>
      <w:r>
        <w:t xml:space="preserve">Training Event Results</w:t>
      </w:r>
    </w:p>
    <w:p>
      <w:pPr>
        <w:pStyle w:val="FirstParagraph"/>
      </w:pPr>
    </w:p>
    <w:bookmarkStart w:id="82"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82"/>
    <w:bookmarkEnd w:id="83"/>
    <w:bookmarkStart w:id="112"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93"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84"/>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86">
        <w:r>
          <w:rPr>
            <w:rStyle w:val="Hyperlink"/>
          </w:rPr>
          <w:t xml:space="preserve">Zotero</w:t>
        </w:r>
      </w:hyperlink>
      <w:r>
        <w:t xml:space="preserve"> </w:t>
      </w:r>
      <w:r>
        <w:t xml:space="preserve">with the</w:t>
      </w:r>
      <w:r>
        <w:t xml:space="preserve"> </w:t>
      </w:r>
      <w:hyperlink r:id="rId87">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90"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88">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8"/>
        </w:numPr>
        <w:pStyle w:val="Compact"/>
      </w:pPr>
      <w:r>
        <w:t xml:space="preserve">Put author names outside the parenthesis</w:t>
      </w:r>
    </w:p>
    <w:p>
      <w:pPr>
        <w:numPr>
          <w:ilvl w:val="1"/>
          <w:numId w:val="1009"/>
        </w:numPr>
        <w:pStyle w:val="Compact"/>
      </w:pPr>
      <w:r>
        <w:t xml:space="preserve">This:</w:t>
      </w:r>
      <w:r>
        <w:t xml:space="preserve"> </w:t>
      </w:r>
      <w:r>
        <w:rPr>
          <w:rStyle w:val="VerbatimChar"/>
        </w:rPr>
        <w:t xml:space="preserve">@Shea2014 says blah.</w:t>
      </w:r>
    </w:p>
    <w:p>
      <w:pPr>
        <w:numPr>
          <w:ilvl w:val="1"/>
          <w:numId w:val="1009"/>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8"/>
        </w:numPr>
        <w:pStyle w:val="Compact"/>
      </w:pPr>
      <w:r>
        <w:t xml:space="preserve">Include only the citation-year (in parenthesis)</w:t>
      </w:r>
    </w:p>
    <w:p>
      <w:pPr>
        <w:numPr>
          <w:ilvl w:val="1"/>
          <w:numId w:val="1010"/>
        </w:numPr>
        <w:pStyle w:val="Compact"/>
      </w:pPr>
      <w:r>
        <w:t xml:space="preserve">This:</w:t>
      </w:r>
      <w:r>
        <w:t xml:space="preserve"> </w:t>
      </w:r>
      <w:r>
        <w:rPr>
          <w:rStyle w:val="VerbatimChar"/>
        </w:rPr>
        <w:t xml:space="preserve">Shea et al. says blah [-@Shea2014]</w:t>
      </w:r>
    </w:p>
    <w:p>
      <w:pPr>
        <w:numPr>
          <w:ilvl w:val="1"/>
          <w:numId w:val="1010"/>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8"/>
        </w:numPr>
        <w:pStyle w:val="Compact"/>
      </w:pPr>
      <w:r>
        <w:t xml:space="preserve">Add text and page or chapter references to the citation</w:t>
      </w:r>
    </w:p>
    <w:p>
      <w:pPr>
        <w:numPr>
          <w:ilvl w:val="1"/>
          <w:numId w:val="1011"/>
        </w:numPr>
        <w:pStyle w:val="Compact"/>
      </w:pPr>
      <w:r>
        <w:t xml:space="preserve">This:</w:t>
      </w:r>
      <w:r>
        <w:t xml:space="preserve"> </w:t>
      </w:r>
      <w:r>
        <w:rPr>
          <w:rStyle w:val="VerbatimChar"/>
        </w:rPr>
        <w:t xml:space="preserve">[see @Shea2014, pp. 33-35; also @Wu2016, ch. 1]</w:t>
      </w:r>
    </w:p>
    <w:p>
      <w:pPr>
        <w:numPr>
          <w:ilvl w:val="1"/>
          <w:numId w:val="1011"/>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89">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90"/>
    <w:bookmarkStart w:id="92"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91">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92"/>
    <w:bookmarkEnd w:id="93"/>
    <w:bookmarkStart w:id="103"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95"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2"/>
        </w:numPr>
        <w:pStyle w:val="Compact"/>
      </w:pPr>
      <w:r>
        <w:t xml:space="preserve">So if we write</w:t>
      </w:r>
      <w:r>
        <w:t xml:space="preserve"> </w:t>
      </w:r>
      <w:r>
        <w:rPr>
          <w:rStyle w:val="VerbatimChar"/>
        </w:rPr>
        <w:t xml:space="preserve">Remember what we wrote up in [the previous section](#citations)?</w:t>
      </w:r>
    </w:p>
    <w:p>
      <w:pPr>
        <w:numPr>
          <w:ilvl w:val="0"/>
          <w:numId w:val="1012"/>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94"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94"/>
    <w:bookmarkEnd w:id="95"/>
    <w:bookmarkStart w:id="99" w:name="figure-image-and-plot-references"/>
    <w:p>
      <w:pPr>
        <w:pStyle w:val="Heading3"/>
      </w:pPr>
      <w:r>
        <w:rPr>
          <w:rStyle w:val="SectionNumber"/>
        </w:rPr>
        <w:t xml:space="preserve">4.2.2</w:t>
      </w:r>
      <w:r>
        <w:tab/>
      </w:r>
      <w:r>
        <w:t xml:space="preserve">Figure (image and plot) references</w:t>
      </w:r>
    </w:p>
    <w:p>
      <w:pPr>
        <w:numPr>
          <w:ilvl w:val="0"/>
          <w:numId w:val="1013"/>
        </w:numPr>
        <w:pStyle w:val="Compact"/>
      </w:pPr>
      <w:r>
        <w:t xml:space="preserve">To refer to figures (i.e. images and plots) use the syntax</w:t>
      </w:r>
      <w:r>
        <w:t xml:space="preserve"> </w:t>
      </w:r>
      <w:r>
        <w:rPr>
          <w:rStyle w:val="VerbatimChar"/>
        </w:rPr>
        <w:t xml:space="preserve">\@ref(fig:label)</w:t>
      </w:r>
    </w:p>
    <w:p>
      <w:pPr>
        <w:numPr>
          <w:ilvl w:val="0"/>
          <w:numId w:val="1013"/>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97" name="Picture"/>
            <a:graphic>
              <a:graphicData uri="http://schemas.openxmlformats.org/drawingml/2006/picture">
                <pic:pic>
                  <pic:nvPicPr>
                    <pic:cNvPr descr="figures/sample-content/captain.jpeg" id="98" name="Picture"/>
                    <pic:cNvPicPr>
                      <a:picLocks noChangeArrowheads="1" noChangeAspect="1"/>
                    </pic:cNvPicPr>
                  </pic:nvPicPr>
                  <pic:blipFill>
                    <a:blip r:embed="rId96"/>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2.4</w:t>
      </w:r>
      <w:r>
        <w:t xml:space="preserve"> </w:t>
      </w:r>
      <w:r>
        <w:t xml:space="preserve">we saw a</w:t>
      </w:r>
      <w:r>
        <w:t xml:space="preserve"> </w:t>
      </w:r>
      <w:hyperlink w:anchor="fig:cars-plot">
        <w:r>
          <w:rPr>
            <w:rStyle w:val="Hyperlink"/>
          </w:rPr>
          <w:t xml:space="preserve">cars plot</w:t>
        </w:r>
      </w:hyperlink>
      <w:r>
        <w:t xml:space="preserve">.</w:t>
      </w:r>
    </w:p>
    <w:bookmarkEnd w:id="99"/>
    <w:bookmarkStart w:id="100" w:name="table-references"/>
    <w:p>
      <w:pPr>
        <w:pStyle w:val="Heading3"/>
      </w:pPr>
      <w:r>
        <w:rPr>
          <w:rStyle w:val="SectionNumber"/>
        </w:rPr>
        <w:t xml:space="preserve">4.2.3</w:t>
      </w:r>
      <w:r>
        <w:tab/>
      </w:r>
      <w:r>
        <w:t xml:space="preserve">Table references</w:t>
      </w:r>
    </w:p>
    <w:p>
      <w:pPr>
        <w:numPr>
          <w:ilvl w:val="0"/>
          <w:numId w:val="1014"/>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00"/>
    <w:bookmarkStart w:id="102"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5"/>
        </w:numPr>
        <w:pStyle w:val="Compact"/>
      </w:pPr>
      <w:r>
        <w:t xml:space="preserve">This:</w:t>
      </w:r>
      <w:r>
        <w:t xml:space="preserve"> </w:t>
      </w:r>
      <w:r>
        <w:rPr>
          <w:rStyle w:val="VerbatimChar"/>
        </w:rPr>
        <w:t xml:space="preserve">Figure &lt;a href="#fig:cars-plot"&gt;2.4&lt;/a&gt; on page \pageref(fig:cars-plot)</w:t>
      </w:r>
    </w:p>
    <w:p>
      <w:pPr>
        <w:numPr>
          <w:ilvl w:val="0"/>
          <w:numId w:val="1015"/>
        </w:numPr>
        <w:pStyle w:val="Compact"/>
      </w:pPr>
      <w:r>
        <w:t xml:space="preserve">Becomes: Figure</w:t>
      </w:r>
      <w:r>
        <w:t xml:space="preserve"> </w:t>
      </w:r>
      <w:r>
        <w:t xml:space="preserve">2.4</w:t>
      </w:r>
      <w:r>
        <w:t xml:space="preserve"> </w:t>
      </w:r>
      <w:r>
        <w:t xml:space="preserve">on page</w:t>
      </w:r>
      <w:r>
        <w:t xml:space="preserve"> </w:t>
      </w:r>
    </w:p>
    <w:bookmarkStart w:id="101"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2.4</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6"/>
        </w:numPr>
        <w:pStyle w:val="Compact"/>
      </w:pPr>
      <w:r>
        <w:t xml:space="preserve">So this:</w:t>
      </w:r>
      <w:r>
        <w:t xml:space="preserve"> </w:t>
      </w:r>
      <w:r>
        <w:rPr>
          <w:rStyle w:val="VerbatimChar"/>
        </w:rPr>
        <w:t xml:space="preserve">`r ifelse(knitr::is_latex_output(), "Figure \&lt;a href="#fig:cars-plot"&gt;2.4&lt;/a&gt; on page \\pageref{fig:cars-plot}", "")`</w:t>
      </w:r>
    </w:p>
    <w:p>
      <w:pPr>
        <w:numPr>
          <w:ilvl w:val="0"/>
          <w:numId w:val="1016"/>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01"/>
    <w:bookmarkEnd w:id="102"/>
    <w:bookmarkEnd w:id="103"/>
    <w:bookmarkStart w:id="108"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04">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05">
        <w:r>
          <w:rPr>
            <w:rStyle w:val="Hyperlink"/>
          </w:rPr>
          <w:t xml:space="preserve">issue #1463</w:t>
        </w:r>
      </w:hyperlink>
      <w:r>
        <w:t xml:space="preserve"> </w:t>
      </w:r>
      <w:r>
        <w:t xml:space="preserve">on GitHub, where</w:t>
      </w:r>
      <w:r>
        <w:t xml:space="preserve"> </w:t>
      </w:r>
      <w:hyperlink r:id="rId106">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07">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08"/>
    <w:bookmarkStart w:id="111" w:name="additional-resources"/>
    <w:p>
      <w:pPr>
        <w:pStyle w:val="Heading2"/>
      </w:pPr>
      <w:r>
        <w:rPr>
          <w:rStyle w:val="SectionNumber"/>
        </w:rPr>
        <w:t xml:space="preserve">4.4</w:t>
      </w:r>
      <w:r>
        <w:tab/>
      </w:r>
      <w:r>
        <w:t xml:space="preserve">Additional resources</w:t>
      </w:r>
    </w:p>
    <w:p>
      <w:pPr>
        <w:numPr>
          <w:ilvl w:val="0"/>
          <w:numId w:val="1017"/>
        </w:numPr>
      </w:pPr>
      <w:r>
        <w:rPr>
          <w:iCs/>
          <w:i/>
        </w:rPr>
        <w:t xml:space="preserve">R Markdown: The Definitive Guide</w:t>
      </w:r>
      <w:r>
        <w:t xml:space="preserve"> </w:t>
      </w:r>
      <w:r>
        <w:t xml:space="preserve">-</w:t>
      </w:r>
      <w:r>
        <w:t xml:space="preserve"> </w:t>
      </w:r>
      <w:hyperlink r:id="rId109">
        <w:r>
          <w:rPr>
            <w:rStyle w:val="Hyperlink"/>
          </w:rPr>
          <w:t xml:space="preserve">https://bookdown.org/yihui/rmarkdown/</w:t>
        </w:r>
      </w:hyperlink>
    </w:p>
    <w:p>
      <w:pPr>
        <w:numPr>
          <w:ilvl w:val="0"/>
          <w:numId w:val="1017"/>
        </w:numPr>
      </w:pPr>
      <w:r>
        <w:rPr>
          <w:iCs/>
          <w:i/>
        </w:rPr>
        <w:t xml:space="preserve">R for Data Science</w:t>
      </w:r>
      <w:r>
        <w:t xml:space="preserve"> </w:t>
      </w:r>
      <w:r>
        <w:t xml:space="preserve">-</w:t>
      </w:r>
      <w:r>
        <w:t xml:space="preserve"> </w:t>
      </w:r>
      <w:hyperlink r:id="rId110">
        <w:r>
          <w:rPr>
            <w:rStyle w:val="Hyperlink"/>
          </w:rPr>
          <w:t xml:space="preserve">https://r4ds.had.co.nz</w:t>
        </w:r>
      </w:hyperlink>
    </w:p>
    <w:bookmarkEnd w:id="111"/>
    <w:bookmarkEnd w:id="112"/>
    <w:bookmarkStart w:id="122"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121"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13"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13"/>
    <w:bookmarkStart w:id="115"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14">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15"/>
    <w:bookmarkStart w:id="116"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16"/>
    <w:bookmarkStart w:id="120"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118" name="Picture"/>
            <a:graphic>
              <a:graphicData uri="http://schemas.openxmlformats.org/drawingml/2006/picture">
                <pic:pic>
                  <pic:nvPicPr>
                    <pic:cNvPr descr="figures/sample-content/latex_font_sizes.png" id="119" name="Picture"/>
                    <pic:cNvPicPr>
                      <a:picLocks noChangeArrowheads="1" noChangeAspect="1"/>
                    </pic:cNvPicPr>
                  </pic:nvPicPr>
                  <pic:blipFill>
                    <a:blip r:embed="rId117"/>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8"/>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8"/>
        </w:numPr>
        <w:pStyle w:val="Compact"/>
      </w:pPr>
      <w:r>
        <w:t xml:space="preserve">Add the attributes that make R Markdown understand that the table is a table (it seems R drops these when we do the string replacement)</w:t>
      </w:r>
    </w:p>
    <w:bookmarkEnd w:id="120"/>
    <w:bookmarkEnd w:id="121"/>
    <w:bookmarkEnd w:id="122"/>
    <w:bookmarkStart w:id="162" w:name="X51bc91f4e64bb84a1de0d4ebcf29499e1120650"/>
    <w:p>
      <w:pPr>
        <w:pStyle w:val="Heading1"/>
      </w:pPr>
      <w:r>
        <w:rPr>
          <w:rStyle w:val="SectionNumber"/>
        </w:rPr>
        <w:t xml:space="preserve">6</w:t>
      </w:r>
      <w:r>
        <w:tab/>
      </w:r>
      <w:r>
        <w:t xml:space="preserve">Text Mining, Natural Language Processing, and Sentiment Analysis</w:t>
      </w:r>
    </w:p>
    <w:bookmarkStart w:id="125" w:name="reading-in-texts"/>
    <w:p>
      <w:pPr>
        <w:pStyle w:val="Heading2"/>
      </w:pPr>
      <w:r>
        <w:rPr>
          <w:rStyle w:val="SectionNumber"/>
        </w:rPr>
        <w:t xml:space="preserve">6.1</w:t>
      </w:r>
      <w:r>
        <w:tab/>
      </w:r>
      <w:r>
        <w:t xml:space="preserve">1 Reading in texts</w:t>
      </w:r>
    </w:p>
    <w:bookmarkStart w:id="123" w:name="txt-files"/>
    <w:p>
      <w:pPr>
        <w:pStyle w:val="Heading3"/>
      </w:pPr>
      <w:r>
        <w:rPr>
          <w:rStyle w:val="SectionNumber"/>
        </w:rPr>
        <w:t xml:space="preserve">6.1.1</w:t>
      </w:r>
      <w:r>
        <w:tab/>
      </w:r>
      <w:r>
        <w:t xml:space="preserve">1.1 txt files</w:t>
      </w:r>
    </w:p>
    <w:p>
      <w:pPr>
        <w:pStyle w:val="FirstParagraph"/>
      </w:pPr>
      <w:r>
        <w:t xml:space="preserve">Here’s how you can read in one .txt file that is saved in the same location as this script (i.e. in the same folder on your computer):</w:t>
      </w:r>
    </w:p>
    <w:p>
      <w:pPr>
        <w:pStyle w:val="BodyText"/>
      </w:pPr>
      <w:r>
        <w:t xml:space="preserve">If you want to read all files from a sub-folder, type the name of the folder followed by / and * to ask R to read in all files in that folder:</w:t>
      </w:r>
    </w:p>
    <w:bookmarkEnd w:id="123"/>
    <w:bookmarkStart w:id="124" w:name="preparing-data"/>
    <w:p>
      <w:pPr>
        <w:pStyle w:val="Heading3"/>
      </w:pPr>
      <w:r>
        <w:rPr>
          <w:rStyle w:val="SectionNumber"/>
        </w:rPr>
        <w:t xml:space="preserve">6.1.2</w:t>
      </w:r>
      <w:r>
        <w:tab/>
      </w:r>
      <w:r>
        <w:t xml:space="preserve">1.3 Preparing data</w:t>
      </w:r>
    </w:p>
    <w:p>
      <w:pPr>
        <w:numPr>
          <w:ilvl w:val="0"/>
          <w:numId w:val="1019"/>
        </w:numPr>
        <w:pStyle w:val="Compact"/>
      </w:pPr>
      <w:r>
        <w:t xml:space="preserve">convert name to ID numbers with more descriptive labels</w:t>
      </w:r>
    </w:p>
    <w:bookmarkEnd w:id="124"/>
    <w:bookmarkEnd w:id="125"/>
    <w:bookmarkStart w:id="129" w:name="tidy-text"/>
    <w:p>
      <w:pPr>
        <w:pStyle w:val="Heading2"/>
      </w:pPr>
      <w:r>
        <w:rPr>
          <w:rStyle w:val="SectionNumber"/>
        </w:rPr>
        <w:t xml:space="preserve">6.2</w:t>
      </w:r>
      <w:r>
        <w:tab/>
      </w:r>
      <w:r>
        <w:t xml:space="preserve">2 Tidy text</w:t>
      </w:r>
    </w:p>
    <w:p>
      <w:pPr>
        <w:numPr>
          <w:ilvl w:val="0"/>
          <w:numId w:val="1020"/>
        </w:numPr>
        <w:pStyle w:val="Compact"/>
      </w:pPr>
      <w:r>
        <w:t xml:space="preserve">One word per row, facilitates analysis</w:t>
      </w:r>
    </w:p>
    <w:p>
      <w:pPr>
        <w:numPr>
          <w:ilvl w:val="0"/>
          <w:numId w:val="1020"/>
        </w:numPr>
        <w:pStyle w:val="Compact"/>
      </w:pPr>
      <w:r>
        <w:t xml:space="preserve">Token:</w:t>
      </w:r>
      <w:r>
        <w:t xml:space="preserve"> </w:t>
      </w:r>
      <w:r>
        <w:t xml:space="preserve">“</w:t>
      </w:r>
      <w:r>
        <w:t xml:space="preserve">a meaningful unit of text, most often a word, that we are interested in using for further analysis</w:t>
      </w:r>
      <w:r>
        <w:t xml:space="preserve">”</w:t>
      </w:r>
    </w:p>
    <w:bookmarkStart w:id="126" w:name="the-unnest_tokens-function"/>
    <w:p>
      <w:pPr>
        <w:pStyle w:val="Heading3"/>
      </w:pPr>
      <w:r>
        <w:rPr>
          <w:rStyle w:val="SectionNumber"/>
        </w:rPr>
        <w:t xml:space="preserve">6.2.1</w:t>
      </w:r>
      <w:r>
        <w:tab/>
      </w:r>
      <w:r>
        <w:t xml:space="preserve">2.1 the unnest_tokens function</w:t>
      </w:r>
    </w:p>
    <w:p>
      <w:pPr>
        <w:numPr>
          <w:ilvl w:val="0"/>
          <w:numId w:val="1021"/>
        </w:numPr>
        <w:pStyle w:val="Compact"/>
      </w:pPr>
      <w:r>
        <w:t xml:space="preserve">Easy to convert from full text to token per row with unnest_tokens()</w:t>
      </w:r>
      <w:r>
        <w:t xml:space="preserve"> </w:t>
      </w:r>
      <w:r>
        <w:t xml:space="preserve">Syntax: unnest_tokens(df, newcol, oldcol)</w:t>
      </w:r>
    </w:p>
    <w:p>
      <w:pPr>
        <w:numPr>
          <w:ilvl w:val="0"/>
          <w:numId w:val="1021"/>
        </w:numPr>
        <w:pStyle w:val="Compact"/>
      </w:pPr>
      <w:r>
        <w:t xml:space="preserve">unnest_tokens() automatically removes punctuation and converts to lowercase (unless you set to_lower = FALSE)</w:t>
      </w:r>
    </w:p>
    <w:p>
      <w:pPr>
        <w:numPr>
          <w:ilvl w:val="0"/>
          <w:numId w:val="1021"/>
        </w:numPr>
        <w:pStyle w:val="Compact"/>
      </w:pPr>
      <w:r>
        <w:t xml:space="preserve">by default, tokens are set to words, but you can also use token =</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 and even</w:t>
      </w:r>
      <w:r>
        <w:t xml:space="preserve"> </w:t>
      </w:r>
      <w:r>
        <w:t xml:space="preserve">“</w:t>
      </w:r>
      <w:r>
        <w:t xml:space="preserve">tweets</w:t>
      </w:r>
      <w:r>
        <w:t xml:space="preserve">”</w:t>
      </w:r>
      <w:r>
        <w:t xml:space="preserve"> </w:t>
      </w:r>
      <w:r>
        <w:t xml:space="preserve">(which will retain usernames, hashtags, and URLs)</w:t>
      </w:r>
    </w:p>
    <w:p>
      <w:pPr>
        <w:pStyle w:val="SourceCode"/>
      </w:pPr>
      <w:r>
        <w:rPr>
          <w:rStyle w:val="VerbatimChar"/>
        </w:rPr>
        <w:t xml:space="preserve">## readtext object consisting of 2858 documents and 0 docvars.</w:t>
      </w:r>
      <w:r>
        <w:br/>
      </w:r>
      <w:r>
        <w:rPr>
          <w:rStyle w:val="VerbatimChar"/>
        </w:rPr>
        <w:t xml:space="preserve">## # Description: df [2,858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r>
        <w:br/>
      </w:r>
      <w:r>
        <w:rPr>
          <w:rStyle w:val="VerbatimChar"/>
        </w:rPr>
        <w:t xml:space="preserve">## # … with 2,852 more rows</w:t>
      </w:r>
    </w:p>
    <w:bookmarkEnd w:id="126"/>
    <w:bookmarkStart w:id="127" w:name="removing-non-alphanumeric-characters"/>
    <w:p>
      <w:pPr>
        <w:pStyle w:val="Heading3"/>
      </w:pPr>
      <w:r>
        <w:rPr>
          <w:rStyle w:val="SectionNumber"/>
        </w:rPr>
        <w:t xml:space="preserve">6.2.2</w:t>
      </w:r>
      <w:r>
        <w:tab/>
      </w:r>
      <w:r>
        <w:t xml:space="preserve">2.2 Removing non-alphanumeric characters</w:t>
      </w:r>
    </w:p>
    <w:p>
      <w:pPr>
        <w:numPr>
          <w:ilvl w:val="0"/>
          <w:numId w:val="1022"/>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127"/>
    <w:bookmarkStart w:id="128" w:name="stop-words"/>
    <w:p>
      <w:pPr>
        <w:pStyle w:val="Heading3"/>
      </w:pPr>
      <w:r>
        <w:rPr>
          <w:rStyle w:val="SectionNumber"/>
        </w:rPr>
        <w:t xml:space="preserve">6.2.3</w:t>
      </w:r>
      <w:r>
        <w:tab/>
      </w:r>
      <w:r>
        <w:t xml:space="preserve">2.3 Stop words</w:t>
      </w:r>
    </w:p>
    <w:p>
      <w:pPr>
        <w:numPr>
          <w:ilvl w:val="0"/>
          <w:numId w:val="1023"/>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23"/>
        </w:numPr>
        <w:pStyle w:val="Compact"/>
      </w:pPr>
      <w:r>
        <w:t xml:space="preserve">tidytext has a built-in df called stop_words for English</w:t>
      </w:r>
    </w:p>
    <w:p>
      <w:pPr>
        <w:numPr>
          <w:ilvl w:val="0"/>
          <w:numId w:val="1023"/>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821 documents and 0 docvars.</w:t>
      </w:r>
      <w:r>
        <w:br/>
      </w:r>
      <w:r>
        <w:rPr>
          <w:rStyle w:val="VerbatimChar"/>
        </w:rPr>
        <w:t xml:space="preserve">## # Description: df [821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815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128"/>
    <w:bookmarkEnd w:id="129"/>
    <w:bookmarkStart w:id="156" w:name="analysing-frequencies"/>
    <w:p>
      <w:pPr>
        <w:pStyle w:val="Heading2"/>
      </w:pPr>
      <w:r>
        <w:rPr>
          <w:rStyle w:val="SectionNumber"/>
        </w:rPr>
        <w:t xml:space="preserve">6.3</w:t>
      </w:r>
      <w:r>
        <w:tab/>
      </w:r>
      <w:r>
        <w:t xml:space="preserve">3 Analysing frequencies</w:t>
      </w:r>
    </w:p>
    <w:bookmarkStart w:id="146" w:name="find-most-frequent-words"/>
    <w:p>
      <w:pPr>
        <w:pStyle w:val="Heading3"/>
      </w:pPr>
      <w:r>
        <w:rPr>
          <w:rStyle w:val="SectionNumber"/>
        </w:rPr>
        <w:t xml:space="preserve">6.3.1</w:t>
      </w:r>
      <w:r>
        <w:tab/>
      </w:r>
      <w:r>
        <w:t xml:space="preserve">3.1 Find most frequent words</w:t>
      </w:r>
    </w:p>
    <w:p>
      <w:pPr>
        <w:numPr>
          <w:ilvl w:val="0"/>
          <w:numId w:val="1024"/>
        </w:numPr>
        <w:pStyle w:val="Compact"/>
      </w:pPr>
      <w:r>
        <w:t xml:space="preserve">Easily find frequent words using count()</w:t>
      </w:r>
    </w:p>
    <w:p>
      <w:pPr>
        <w:numPr>
          <w:ilvl w:val="0"/>
          <w:numId w:val="1024"/>
        </w:numPr>
        <w:pStyle w:val="Compact"/>
      </w:pPr>
      <w:r>
        <w:t xml:space="preserve">Data must be in tidy format (one token per line)</w:t>
      </w:r>
    </w:p>
    <w:p>
      <w:pPr>
        <w:numPr>
          <w:ilvl w:val="0"/>
          <w:numId w:val="1024"/>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vr               15</w:t>
      </w:r>
      <w:r>
        <w:br/>
      </w:r>
      <w:r>
        <w:rPr>
          <w:rStyle w:val="VerbatimChar"/>
        </w:rPr>
        <w:t xml:space="preserve">##  2 1      cybersecurity    11</w:t>
      </w:r>
      <w:r>
        <w:br/>
      </w:r>
      <w:r>
        <w:rPr>
          <w:rStyle w:val="VerbatimChar"/>
        </w:rPr>
        <w:t xml:space="preserve">##  3 1      information      11</w:t>
      </w:r>
      <w:r>
        <w:br/>
      </w:r>
      <w:r>
        <w:rPr>
          <w:rStyle w:val="VerbatimChar"/>
        </w:rPr>
        <w:t xml:space="preserve">##  4 1      presentation      9</w:t>
      </w:r>
      <w:r>
        <w:br/>
      </w:r>
      <w:r>
        <w:rPr>
          <w:rStyle w:val="VerbatimChar"/>
        </w:rPr>
        <w:t xml:space="preserve">##  5 1      helpful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p>
      <w:pPr>
        <w:pStyle w:val="SourceCode"/>
      </w:pPr>
      <w:r>
        <w:rPr>
          <w:rStyle w:val="VerbatimChar"/>
        </w:rPr>
        <w:t xml:space="preserve">## # A tibble: 388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vr               15</w:t>
      </w:r>
      <w:r>
        <w:br/>
      </w:r>
      <w:r>
        <w:rPr>
          <w:rStyle w:val="VerbatimChar"/>
        </w:rPr>
        <w:t xml:space="preserve">##  2 1      cybersecurity    11</w:t>
      </w:r>
      <w:r>
        <w:br/>
      </w:r>
      <w:r>
        <w:rPr>
          <w:rStyle w:val="VerbatimChar"/>
        </w:rPr>
        <w:t xml:space="preserve">##  3 1      information      11</w:t>
      </w:r>
      <w:r>
        <w:br/>
      </w:r>
      <w:r>
        <w:rPr>
          <w:rStyle w:val="VerbatimChar"/>
        </w:rPr>
        <w:t xml:space="preserve">##  4 1      presentation      9</w:t>
      </w:r>
      <w:r>
        <w:br/>
      </w:r>
      <w:r>
        <w:rPr>
          <w:rStyle w:val="VerbatimChar"/>
        </w:rPr>
        <w:t xml:space="preserve">##  5 1      helpful           8</w:t>
      </w:r>
      <w:r>
        <w:br/>
      </w:r>
      <w:r>
        <w:rPr>
          <w:rStyle w:val="VerbatimChar"/>
        </w:rPr>
        <w:t xml:space="preserve">##  6 1      understand        8</w:t>
      </w:r>
      <w:r>
        <w:br/>
      </w:r>
      <w:r>
        <w:rPr>
          <w:rStyle w:val="VerbatimChar"/>
        </w:rPr>
        <w:t xml:space="preserve">##  7 1      idea              7</w:t>
      </w:r>
      <w:r>
        <w:br/>
      </w:r>
      <w:r>
        <w:rPr>
          <w:rStyle w:val="VerbatimChar"/>
        </w:rPr>
        <w:t xml:space="preserve">##  8 1      ideas             7</w:t>
      </w:r>
      <w:r>
        <w:br/>
      </w:r>
      <w:r>
        <w:rPr>
          <w:rStyle w:val="VerbatimChar"/>
        </w:rPr>
        <w:t xml:space="preserve">##  9 1      lot               7</w:t>
      </w:r>
      <w:r>
        <w:br/>
      </w:r>
      <w:r>
        <w:rPr>
          <w:rStyle w:val="VerbatimChar"/>
        </w:rPr>
        <w:t xml:space="preserve">## 10 1      workshop          7</w:t>
      </w:r>
      <w:r>
        <w:br/>
      </w:r>
      <w:r>
        <w:rPr>
          <w:rStyle w:val="VerbatimChar"/>
        </w:rPr>
        <w:t xml:space="preserve">## # … with 378 more rows</w:t>
      </w:r>
    </w:p>
    <w:bookmarkStart w:id="145"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r>
        <w:t xml:space="preserve"> </w:t>
      </w:r>
      <w:r>
        <w:drawing>
          <wp:inline>
            <wp:extent cx="4620126" cy="3696101"/>
            <wp:effectExtent b="0" l="0" r="0" t="0"/>
            <wp:docPr descr="" title="" id="131" name="Picture"/>
            <a:graphic>
              <a:graphicData uri="http://schemas.openxmlformats.org/drawingml/2006/picture">
                <pic:pic>
                  <pic:nvPicPr>
                    <pic:cNvPr descr="_main_files/figure-docx/unnamed-chunk-17-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Readable labels:</w:t>
      </w:r>
      <w:r>
        <w:t xml:space="preserve"> </w:t>
      </w:r>
      <w:r>
        <w:drawing>
          <wp:inline>
            <wp:extent cx="4620126" cy="3696101"/>
            <wp:effectExtent b="0" l="0" r="0" t="0"/>
            <wp:docPr descr="" title="" id="134" name="Picture"/>
            <a:graphic>
              <a:graphicData uri="http://schemas.openxmlformats.org/drawingml/2006/picture">
                <pic:pic>
                  <pic:nvPicPr>
                    <pic:cNvPr descr="_main_files/figure-docx/unnamed-chunk-18-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Descending order:</w:t>
      </w:r>
      <w:r>
        <w:t xml:space="preserve"> </w:t>
      </w:r>
      <w:r>
        <w:drawing>
          <wp:inline>
            <wp:extent cx="4620126" cy="3696101"/>
            <wp:effectExtent b="0" l="0" r="0" t="0"/>
            <wp:docPr descr="" title="" id="137" name="Picture"/>
            <a:graphic>
              <a:graphicData uri="http://schemas.openxmlformats.org/drawingml/2006/picture">
                <pic:pic>
                  <pic:nvPicPr>
                    <pic:cNvPr descr="_main_files/figure-docx/unnamed-chunk-19-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Axis names and colors:</w:t>
      </w:r>
      <w:r>
        <w:t xml:space="preserve"> </w:t>
      </w:r>
      <w:r>
        <w:drawing>
          <wp:inline>
            <wp:extent cx="4620126" cy="3696101"/>
            <wp:effectExtent b="0" l="0" r="0" t="0"/>
            <wp:docPr descr="" title="" id="140" name="Picture"/>
            <a:graphic>
              <a:graphicData uri="http://schemas.openxmlformats.org/drawingml/2006/picture">
                <pic:pic>
                  <pic:nvPicPr>
                    <pic:cNvPr descr="_main_files/figure-docx/unnamed-chunk-20-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flip coordinate system to make more space for words</w:t>
      </w:r>
      <w:r>
        <w:t xml:space="preserve"> </w:t>
      </w:r>
      <w:r>
        <w:drawing>
          <wp:inline>
            <wp:extent cx="4620126" cy="3696101"/>
            <wp:effectExtent b="0" l="0" r="0" t="0"/>
            <wp:docPr descr="" title="" id="143" name="Picture"/>
            <a:graphic>
              <a:graphicData uri="http://schemas.openxmlformats.org/drawingml/2006/picture">
                <pic:pic>
                  <pic:nvPicPr>
                    <pic:cNvPr descr="_main_files/figure-docx/unnamed-chunk-21-1.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bookmarkEnd w:id="145"/>
    <w:bookmarkEnd w:id="146"/>
    <w:bookmarkStart w:id="151" w:name="normalised-frequency"/>
    <w:p>
      <w:pPr>
        <w:pStyle w:val="Heading3"/>
      </w:pPr>
      <w:r>
        <w:rPr>
          <w:rStyle w:val="SectionNumber"/>
        </w:rPr>
        <w:t xml:space="preserve">6.3.2</w:t>
      </w:r>
      <w:r>
        <w:tab/>
      </w:r>
      <w:r>
        <w:t xml:space="preserve">3.2 Normalised frequency</w:t>
      </w:r>
    </w:p>
    <w:p>
      <w:pPr>
        <w:numPr>
          <w:ilvl w:val="0"/>
          <w:numId w:val="1025"/>
        </w:numPr>
        <w:pStyle w:val="Compact"/>
      </w:pPr>
      <w:r>
        <w:t xml:space="preserve">when comparing the frequencies of words from different texts, they are commonly normalised</w:t>
      </w:r>
    </w:p>
    <w:p>
      <w:pPr>
        <w:numPr>
          <w:ilvl w:val="0"/>
          <w:numId w:val="1025"/>
        </w:numPr>
        <w:pStyle w:val="Compact"/>
      </w:pPr>
      <w:r>
        <w:t xml:space="preserve">convention in corpus linguistics: report the frequency per 1 million words</w:t>
      </w:r>
    </w:p>
    <w:p>
      <w:pPr>
        <w:numPr>
          <w:ilvl w:val="0"/>
          <w:numId w:val="1025"/>
        </w:numPr>
        <w:pStyle w:val="Compact"/>
      </w:pPr>
      <w:r>
        <w:t xml:space="preserve">for shorter texts: per 10,000 or per 100,000 words</w:t>
      </w:r>
    </w:p>
    <w:p>
      <w:pPr>
        <w:numPr>
          <w:ilvl w:val="0"/>
          <w:numId w:val="1025"/>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696</w:t>
      </w:r>
    </w:p>
    <w:p>
      <w:pPr>
        <w:pStyle w:val="SourceCode"/>
      </w:pPr>
      <w:r>
        <w:rPr>
          <w:rStyle w:val="VerbatimChar"/>
        </w:rPr>
        <w:t xml:space="preserve">## # A tibble: 386 × 2</w:t>
      </w:r>
      <w:r>
        <w:br/>
      </w:r>
      <w:r>
        <w:rPr>
          <w:rStyle w:val="VerbatimChar"/>
        </w:rPr>
        <w:t xml:space="preserve">##    word            pmw</w:t>
      </w:r>
      <w:r>
        <w:br/>
      </w:r>
      <w:r>
        <w:rPr>
          <w:rStyle w:val="VerbatimChar"/>
        </w:rPr>
        <w:t xml:space="preserve">##    &lt;chr&gt;         &lt;dbl&gt;</w:t>
      </w:r>
      <w:r>
        <w:br/>
      </w:r>
      <w:r>
        <w:rPr>
          <w:rStyle w:val="VerbatimChar"/>
        </w:rPr>
        <w:t xml:space="preserve">##  1 vr            217. </w:t>
      </w:r>
      <w:r>
        <w:br/>
      </w:r>
      <w:r>
        <w:rPr>
          <w:rStyle w:val="VerbatimChar"/>
        </w:rPr>
        <w:t xml:space="preserve">##  2 cybersecurity 159. </w:t>
      </w:r>
      <w:r>
        <w:br/>
      </w:r>
      <w:r>
        <w:rPr>
          <w:rStyle w:val="VerbatimChar"/>
        </w:rPr>
        <w:t xml:space="preserve">##  3 information   159. </w:t>
      </w:r>
      <w:r>
        <w:br/>
      </w:r>
      <w:r>
        <w:rPr>
          <w:rStyle w:val="VerbatimChar"/>
        </w:rPr>
        <w:t xml:space="preserve">##  4 presentation  130. </w:t>
      </w:r>
      <w:r>
        <w:br/>
      </w:r>
      <w:r>
        <w:rPr>
          <w:rStyle w:val="VerbatimChar"/>
        </w:rPr>
        <w:t xml:space="preserve">##  5 helpful       116. </w:t>
      </w:r>
      <w:r>
        <w:br/>
      </w:r>
      <w:r>
        <w:rPr>
          <w:rStyle w:val="VerbatimChar"/>
        </w:rPr>
        <w:t xml:space="preserve">##  6 idea          101. </w:t>
      </w:r>
      <w:r>
        <w:br/>
      </w:r>
      <w:r>
        <w:rPr>
          <w:rStyle w:val="VerbatimChar"/>
        </w:rPr>
        <w:t xml:space="preserve">##  7 ideas         101. </w:t>
      </w:r>
      <w:r>
        <w:br/>
      </w:r>
      <w:r>
        <w:rPr>
          <w:rStyle w:val="VerbatimChar"/>
        </w:rPr>
        <w:t xml:space="preserve">##  8 lot           101. </w:t>
      </w:r>
      <w:r>
        <w:br/>
      </w:r>
      <w:r>
        <w:rPr>
          <w:rStyle w:val="VerbatimChar"/>
        </w:rPr>
        <w:t xml:space="preserve">##  9 workshop      101. </w:t>
      </w:r>
      <w:r>
        <w:br/>
      </w:r>
      <w:r>
        <w:rPr>
          <w:rStyle w:val="VerbatimChar"/>
        </w:rPr>
        <w:t xml:space="preserve">## 10 beginning      87.0</w:t>
      </w:r>
      <w:r>
        <w:br/>
      </w:r>
      <w:r>
        <w:rPr>
          <w:rStyle w:val="VerbatimChar"/>
        </w:rPr>
        <w:t xml:space="preserve">## # … with 376 more rows</w:t>
      </w:r>
    </w:p>
    <w:bookmarkStart w:id="150"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48" name="Picture"/>
            <a:graphic>
              <a:graphicData uri="http://schemas.openxmlformats.org/drawingml/2006/picture">
                <pic:pic>
                  <pic:nvPicPr>
                    <pic:cNvPr descr="_main_files/figure-docx/unnamed-chunk-23-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bookmarkEnd w:id="150"/>
    <w:bookmarkEnd w:id="151"/>
    <w:bookmarkStart w:id="155"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53" name="Picture"/>
            <a:graphic>
              <a:graphicData uri="http://schemas.openxmlformats.org/drawingml/2006/picture">
                <pic:pic>
                  <pic:nvPicPr>
                    <pic:cNvPr descr="_main_files/figure-docx/unnamed-chunk-24-1.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bookmarkEnd w:id="155"/>
    <w:bookmarkEnd w:id="156"/>
    <w:bookmarkStart w:id="161" w:name="comparing-the-vocabulary-of-texts"/>
    <w:p>
      <w:pPr>
        <w:pStyle w:val="Heading2"/>
      </w:pPr>
      <w:r>
        <w:rPr>
          <w:rStyle w:val="SectionNumber"/>
        </w:rPr>
        <w:t xml:space="preserve">6.4</w:t>
      </w:r>
      <w:r>
        <w:tab/>
      </w:r>
      <w:r>
        <w:t xml:space="preserve">4 Comparing the vocabulary of texts</w:t>
      </w:r>
    </w:p>
    <w:p>
      <w:pPr>
        <w:pStyle w:val="FirstParagraph"/>
      </w:pPr>
      <w:r>
        <w:t xml:space="preserve">Next, we’ll create two graphs to compare the vocabulary of our texts. First, we focus on Alice’s Adventures and Anderson’s CEPEHQ. The newly created comp_2 data frame contains only the words and their frequencies in the two texts in two separate columns.</w:t>
      </w:r>
    </w:p>
    <w:bookmarkStart w:id="160" w:name="comparing-two-texts"/>
    <w:p>
      <w:pPr>
        <w:pStyle w:val="Heading3"/>
      </w:pPr>
      <w:r>
        <w:rPr>
          <w:rStyle w:val="SectionNumber"/>
        </w:rPr>
        <w:t xml:space="preserve">6.4.1</w:t>
      </w:r>
      <w:r>
        <w:tab/>
      </w:r>
      <w:r>
        <w:t xml:space="preserve">Comparing two texts</w:t>
      </w:r>
    </w:p>
    <w:p>
      <w:pPr>
        <w:pStyle w:val="SourceCode"/>
      </w:pPr>
      <w:r>
        <w:rPr>
          <w:rStyle w:val="VerbatimChar"/>
        </w:rPr>
        <w:t xml:space="preserve">## # A tibble: 6 × 3</w:t>
      </w:r>
      <w:r>
        <w:br/>
      </w:r>
      <w:r>
        <w:rPr>
          <w:rStyle w:val="VerbatimChar"/>
        </w:rPr>
        <w:t xml:space="preserve">##   word            pmw     `1`</w:t>
      </w:r>
      <w:r>
        <w:br/>
      </w:r>
      <w:r>
        <w:rPr>
          <w:rStyle w:val="VerbatimChar"/>
        </w:rPr>
        <w:t xml:space="preserve">##   &lt;chr&gt;         &lt;dbl&gt;   &lt;dbl&gt;</w:t>
      </w:r>
      <w:r>
        <w:br/>
      </w:r>
      <w:r>
        <w:rPr>
          <w:rStyle w:val="VerbatimChar"/>
        </w:rPr>
        <w:t xml:space="preserve">## 1 access         43.5 0.00435</w:t>
      </w:r>
      <w:r>
        <w:br/>
      </w:r>
      <w:r>
        <w:rPr>
          <w:rStyle w:val="VerbatimChar"/>
        </w:rPr>
        <w:t xml:space="preserve">## 2 acquired       14.5 0.00145</w:t>
      </w:r>
      <w:r>
        <w:br/>
      </w:r>
      <w:r>
        <w:rPr>
          <w:rStyle w:val="VerbatimChar"/>
        </w:rPr>
        <w:t xml:space="preserve">## 3 add            14.5 0.00145</w:t>
      </w:r>
      <w:r>
        <w:br/>
      </w:r>
      <w:r>
        <w:rPr>
          <w:rStyle w:val="VerbatimChar"/>
        </w:rPr>
        <w:t xml:space="preserve">## 4 administrator  14.5 0.00145</w:t>
      </w:r>
      <w:r>
        <w:br/>
      </w:r>
      <w:r>
        <w:rPr>
          <w:rStyle w:val="VerbatimChar"/>
        </w:rPr>
        <w:t xml:space="preserve">## 5 advance        14.5 0.00145</w:t>
      </w:r>
      <w:r>
        <w:br/>
      </w:r>
      <w:r>
        <w:rPr>
          <w:rStyle w:val="VerbatimChar"/>
        </w:rPr>
        <w:t xml:space="preserve">## 6 advanced       14.5 0.00145</w:t>
      </w:r>
    </w:p>
    <w:p>
      <w:pPr>
        <w:pStyle w:val="FirstParagraph"/>
      </w:pPr>
      <w:r>
        <w:t xml:space="preserve">Now, we can plot the words. Their placement depends on the word frequencies. Additionally, colour coding shows how different the frequencies are - darker items are more similar in terms of their frequencies, lighter-coloured ones more frequent in one text compared to the other. We’ll discuss the interpretation in more detail once we’ve created the threeway comparison.</w:t>
      </w:r>
      <w:r>
        <w:t xml:space="preserve"> </w:t>
      </w:r>
      <w:r>
        <w:drawing>
          <wp:inline>
            <wp:extent cx="4620126" cy="3696101"/>
            <wp:effectExtent b="0" l="0" r="0" t="0"/>
            <wp:docPr descr="" title="" id="158" name="Picture"/>
            <a:graphic>
              <a:graphicData uri="http://schemas.openxmlformats.org/drawingml/2006/picture">
                <pic:pic>
                  <pic:nvPicPr>
                    <pic:cNvPr descr="_main_files/figure-docx/unnamed-chunk-26-1.png" id="159"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bookmarkEnd w:id="160"/>
    <w:bookmarkEnd w:id="161"/>
    <w:bookmarkEnd w:id="162"/>
    <w:bookmarkStart w:id="163" w:name="sentiment-analysis"/>
    <w:p>
      <w:pPr>
        <w:pStyle w:val="Heading1"/>
      </w:pPr>
      <w:r>
        <w:rPr>
          <w:rStyle w:val="SectionNumber"/>
        </w:rPr>
        <w:t xml:space="preserve">7</w:t>
      </w:r>
      <w:r>
        <w:tab/>
      </w:r>
      <w:r>
        <w:t xml:space="preserve">Sentiment analysis</w:t>
      </w:r>
    </w:p>
    <w:p>
      <w:pPr>
        <w:pStyle w:val="FirstParagraph"/>
      </w:pPr>
    </w:p>
    <w:p>
      <w:pPr>
        <w:pStyle w:val="SourceCode"/>
      </w:pPr>
      <w:r>
        <w:rPr>
          <w:rStyle w:val="CommentTok"/>
        </w:rPr>
        <w:t xml:space="preserve"># install.packages(pdftools)</w:t>
      </w:r>
      <w:r>
        <w:br/>
      </w:r>
      <w:r>
        <w:rPr>
          <w:rStyle w:val="CommentTok"/>
        </w:rPr>
        <w:t xml:space="preserve"># split PDF into pages stored in figures/sample-content/pdf_embed_example/split/</w:t>
      </w:r>
      <w:r>
        <w:br/>
      </w:r>
      <w:r>
        <w:rPr>
          <w:rStyle w:val="CommentTok"/>
        </w:rPr>
        <w:t xml:space="preserve"># pdftools::pdf_split("figures/sample-content/pdf_embed_example/Lyngs2020_FB.pdf",</w:t>
      </w:r>
      <w:r>
        <w:br/>
      </w:r>
      <w:r>
        <w:rPr>
          <w:rStyle w:val="CommentTok"/>
        </w:rPr>
        <w:t xml:space="preserve">#        output = "figures/sample-content/pdf_embed_example/split/")</w:t>
      </w:r>
      <w:r>
        <w:br/>
      </w:r>
      <w:r>
        <w:br/>
      </w:r>
      <w:r>
        <w:rPr>
          <w:rStyle w:val="CommentTok"/>
        </w:rPr>
        <w:t xml:space="preserve"># grab the pages</w:t>
      </w:r>
      <w:r>
        <w:br/>
      </w:r>
      <w:r>
        <w:rPr>
          <w:rStyle w:val="NormalTok"/>
        </w:rPr>
        <w:t xml:space="preserve">pages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"figures/sample-content/pdf_embed_example/split"</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set how wide you want the inserted PDFs to be: </w:t>
      </w:r>
      <w:r>
        <w:br/>
      </w:r>
      <w:r>
        <w:rPr>
          <w:rStyle w:val="CommentTok"/>
        </w:rPr>
        <w:t xml:space="preserve"># 1.0 is 100 per cent of the oxforddown PDF page width;</w:t>
      </w:r>
      <w:r>
        <w:br/>
      </w:r>
      <w:r>
        <w:rPr>
          <w:rStyle w:val="CommentTok"/>
        </w:rPr>
        <w:t xml:space="preserve"># you may want to make it a bit bigger</w:t>
      </w:r>
      <w:r>
        <w:br/>
      </w:r>
      <w:r>
        <w:rPr>
          <w:rStyle w:val="NormalTok"/>
        </w:rPr>
        <w:t xml:space="preserve">pdf_width </w:t>
      </w:r>
      <w:r>
        <w:rPr>
          <w:rStyle w:val="OtherTok"/>
        </w:rPr>
        <w:t xml:space="preserve">&lt;-</w:t>
      </w:r>
      <w:r>
        <w:rPr>
          <w:rStyle w:val="NormalTok"/>
        </w:rPr>
        <w:t xml:space="preserve"> </w:t>
      </w:r>
      <w:r>
        <w:rPr>
          <w:rStyle w:val="FloatTok"/>
        </w:rPr>
        <w:t xml:space="preserve">1.2</w:t>
      </w:r>
      <w:r>
        <w:br/>
      </w:r>
      <w:r>
        <w:br/>
      </w:r>
      <w:r>
        <w:rPr>
          <w:rStyle w:val="CommentTok"/>
        </w:rPr>
        <w:t xml:space="preserve"># for each PDF page, insert it nicely and</w:t>
      </w:r>
      <w:r>
        <w:br/>
      </w:r>
      <w:r>
        <w:rPr>
          <w:rStyle w:val="CommentTok"/>
        </w:rPr>
        <w:t xml:space="preserve"># end with a page break</w:t>
      </w:r>
      <w:r>
        <w:br/>
      </w:r>
      <w:r>
        <w:rPr>
          <w:rStyle w:val="FunctionTok"/>
        </w:rPr>
        <w:t xml:space="preserve">cat</w:t>
      </w:r>
      <w:r>
        <w:rPr>
          <w:rStyle w:val="NormalTok"/>
        </w:rPr>
        <w:t xml:space="preserve">(stringr</w:t>
      </w:r>
      <w:r>
        <w:rPr>
          <w:rStyle w:val="SpecialCharTok"/>
        </w:rPr>
        <w:t xml:space="preserve">::</w:t>
      </w:r>
      <w:r>
        <w:rPr>
          <w:rStyle w:val="FunctionTok"/>
        </w:rPr>
        <w:t xml:space="preserve">str_c</w:t>
      </w:r>
      <w:r>
        <w:rPr>
          <w:rStyle w:val="NormalTok"/>
        </w:rPr>
        <w:t xml:space="preserve">(</w:t>
      </w:r>
      <w:r>
        <w:rPr>
          <w:rStyle w:val="StringTok"/>
        </w:rPr>
        <w:t xml:space="preserve">"</w:t>
      </w:r>
      <w:r>
        <w:rPr>
          <w:rStyle w:val="SpecialCharTok"/>
        </w:rPr>
        <w:t xml:space="preserve">\\</w:t>
      </w:r>
      <w:r>
        <w:rPr>
          <w:rStyle w:val="StringTok"/>
        </w:rPr>
        <w:t xml:space="preserve">newpage </w:t>
      </w:r>
      <w:r>
        <w:rPr>
          <w:rStyle w:val="SpecialCharTok"/>
        </w:rPr>
        <w:t xml:space="preserve">\\</w:t>
      </w:r>
      <w:r>
        <w:rPr>
          <w:rStyle w:val="StringTok"/>
        </w:rPr>
        <w:t xml:space="preserve">begin{center} </w:t>
      </w:r>
      <w:r>
        <w:rPr>
          <w:rStyle w:val="SpecialCharTok"/>
        </w:rPr>
        <w:t xml:space="preserve">\\</w:t>
      </w:r>
      <w:r>
        <w:rPr>
          <w:rStyle w:val="StringTok"/>
        </w:rPr>
        <w:t xml:space="preserve">makebox[</w:t>
      </w:r>
      <w:r>
        <w:rPr>
          <w:rStyle w:val="SpecialCharTok"/>
        </w:rPr>
        <w:t xml:space="preserve">\\</w:t>
      </w:r>
      <w:r>
        <w:rPr>
          <w:rStyle w:val="StringTok"/>
        </w:rPr>
        <w:t xml:space="preserve">linewidth][c]{</w:t>
      </w:r>
      <w:r>
        <w:rPr>
          <w:rStyle w:val="SpecialCharTok"/>
        </w:rPr>
        <w:t xml:space="preserve">\\</w:t>
      </w:r>
      <w:r>
        <w:rPr>
          <w:rStyle w:val="StringTok"/>
        </w:rPr>
        <w:t xml:space="preserve">includegraphics[width="</w:t>
      </w:r>
      <w:r>
        <w:rPr>
          <w:rStyle w:val="NormalTok"/>
        </w:rPr>
        <w:t xml:space="preserve">, pdf_width, </w:t>
      </w:r>
      <w:r>
        <w:rPr>
          <w:rStyle w:val="StringTok"/>
        </w:rPr>
        <w:t xml:space="preserve">"</w:t>
      </w:r>
      <w:r>
        <w:rPr>
          <w:rStyle w:val="SpecialCharTok"/>
        </w:rPr>
        <w:t xml:space="preserve">\\</w:t>
      </w:r>
      <w:r>
        <w:rPr>
          <w:rStyle w:val="StringTok"/>
        </w:rPr>
        <w:t xml:space="preserve">linewidth]{"</w:t>
      </w:r>
      <w:r>
        <w:rPr>
          <w:rStyle w:val="NormalTok"/>
        </w:rPr>
        <w:t xml:space="preserve">, pages, </w:t>
      </w:r>
      <w:r>
        <w:rPr>
          <w:rStyle w:val="StringTok"/>
        </w:rPr>
        <w:t xml:space="preserve">"}} </w:t>
      </w:r>
      <w:r>
        <w:rPr>
          <w:rStyle w:val="SpecialCharTok"/>
        </w:rPr>
        <w:t xml:space="preserve">\\</w:t>
      </w:r>
      <w:r>
        <w:rPr>
          <w:rStyle w:val="StringTok"/>
        </w:rPr>
        <w:t xml:space="preserve">end{center}"</w:t>
      </w:r>
      <w:r>
        <w:rPr>
          <w:rStyle w:val="NormalTok"/>
        </w:rPr>
        <w:t xml:space="preserve">))</w:t>
      </w:r>
    </w:p>
    <w:p>
      <w:pPr>
        <w:pStyle w:val="FirstParagraph"/>
      </w:pPr>
      <w:r>
        <w:t xml:space="preserve"> </w:t>
      </w:r>
      <w:r>
        <w:t xml:space="preserve"> </w:t>
      </w:r>
      <w:r>
        <w:t xml:space="preserve"> </w:t>
      </w:r>
      <w:r>
        <w:t xml:space="preserve"> </w:t>
      </w:r>
      <w:r>
        <w:t xml:space="preserve"> </w:t>
      </w:r>
      <w:r>
        <w:t xml:space="preserve"> </w:t>
      </w:r>
    </w:p>
    <w:bookmarkEnd w:id="163"/>
    <w:bookmarkStart w:id="165" w:name="appendix"/>
    <w:p>
      <w:pPr>
        <w:pStyle w:val="Heading1"/>
      </w:pPr>
      <w:r>
        <w:t xml:space="preserve">Appendix</w:t>
      </w:r>
    </w:p>
    <w:bookmarkStart w:id="164" w:name="more-info"/>
    <w:p>
      <w:pPr>
        <w:pStyle w:val="Heading2"/>
      </w:pPr>
      <w:r>
        <w:t xml:space="preserve">More info</w:t>
      </w:r>
    </w:p>
    <w:p>
      <w:pPr>
        <w:pStyle w:val="FirstParagraph"/>
      </w:pPr>
      <w:r>
        <w:t xml:space="preserve">And here’s some other random info:</w:t>
      </w:r>
      <w:r>
        <w:t xml:space="preserve"> </w:t>
      </w:r>
      <w:r>
        <w:t xml:space="preserve">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w:t>
      </w:r>
      <w:r>
        <w:t xml:space="preserve"> </w:t>
      </w:r>
      <w:r>
        <w:t xml:space="preserve">Since that’s obvious after a chapter or section title, proper typesetting doesn’t add an indent there.</w:t>
      </w:r>
    </w:p>
    <w:p>
      <w:pPr>
        <w:pStyle w:val="BodyText"/>
      </w:pPr>
      <w:r>
        <w:t xml:space="preserve">This paragraph, by contrast,</w:t>
      </w:r>
      <w:r>
        <w:t xml:space="preserve"> </w:t>
      </w:r>
      <w:r>
        <w:rPr>
          <w:iCs/>
          <w:i/>
        </w:rPr>
        <w:t xml:space="preserve">will</w:t>
      </w:r>
      <w:r>
        <w:t xml:space="preserve"> </w:t>
      </w:r>
      <w:r>
        <w:t xml:space="preserve">be indented as it should because it is not the first one after the</w:t>
      </w:r>
      <w:r>
        <w:t xml:space="preserve"> </w:t>
      </w:r>
      <w:r>
        <w:t xml:space="preserve">‘</w:t>
      </w:r>
      <w:r>
        <w:t xml:space="preserve">More info</w:t>
      </w:r>
      <w:r>
        <w:t xml:space="preserve">’</w:t>
      </w:r>
      <w:r>
        <w:t xml:space="preserve"> </w:t>
      </w:r>
      <w:r>
        <w:t xml:space="preserve">heading.</w:t>
      </w:r>
      <w:r>
        <w:t xml:space="preserve"> </w:t>
      </w:r>
      <w:r>
        <w:t xml:space="preserve">All hail LaTeX. (If you’re reading the HTML version, you won’t see any indentation - have a look at the PDF version to understand what in the earth this section is babbling on about).</w:t>
      </w:r>
    </w:p>
    <w:bookmarkEnd w:id="164"/>
    <w:bookmarkEnd w:id="165"/>
    <w:bookmarkStart w:id="166" w:name="appendix-appendix"/>
    <w:p>
      <w:pPr>
        <w:pStyle w:val="Heading1"/>
      </w:pPr>
      <w:r>
        <w:t xml:space="preserve">(APPENDIX) Appendix</w:t>
      </w:r>
    </w:p>
    <w:bookmarkEnd w:id="166"/>
    <w:bookmarkStart w:id="167"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SourceCode"/>
      </w:pPr>
      <w:r>
        <w:rPr>
          <w:rStyle w:val="FunctionTok"/>
        </w:rPr>
        <w:t xml:space="preserve">library</w:t>
      </w:r>
      <w:r>
        <w:rPr>
          <w:rStyle w:val="NormalTok"/>
        </w:rPr>
        <w:t xml:space="preserve">(tidyverse)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"figures/sample-content/chunk-parts.png"</w:t>
      </w:r>
      <w:r>
        <w:rPr>
          <w:rStyle w:val="NormalTok"/>
        </w:rPr>
        <w:t xml:space="preserve">)</w:t>
      </w:r>
    </w:p>
    <w:p>
      <w:pPr>
        <w:pStyle w:val="FirstParagraph"/>
      </w:pPr>
      <w:r>
        <w:rPr>
          <w:bCs/>
          <w:b/>
        </w:rPr>
        <w:t xml:space="preserve">And here’s another one from the same chapter, i.e. Chapter</w:t>
      </w:r>
      <w:r>
        <w:rPr>
          <w:bCs/>
          <w:b/>
        </w:rPr>
        <w:t xml:space="preserve"> </w:t>
      </w:r>
      <w:r>
        <w:rPr>
          <w:bCs/>
          <w:b/>
        </w:rPr>
        <w:t xml:space="preserve">??</w:t>
      </w:r>
      <w:r>
        <w:rPr>
          <w:bCs/>
          <w:b/>
        </w:rPr>
        <w:t xml:space="preserv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"templates/download.png"</w:t>
      </w:r>
      <w:r>
        <w:rPr>
          <w:rStyle w:val="NormalTok"/>
        </w:rPr>
        <w:t xml:space="preserve">)</w:t>
      </w:r>
    </w:p>
    <w:bookmarkEnd w:id="167"/>
    <w:bookmarkStart w:id="168" w:name="the-second-appendix-for-fun"/>
    <w:p>
      <w:pPr>
        <w:pStyle w:val="Heading1"/>
      </w:pPr>
      <w:r>
        <w:rPr>
          <w:rStyle w:val="SectionNumber"/>
        </w:rPr>
        <w:t xml:space="preserve">9</w:t>
      </w:r>
      <w:r>
        <w:tab/>
      </w:r>
      <w:r>
        <w:t xml:space="preserve">The Second Appendix, for Fun</w:t>
      </w:r>
    </w:p>
    <w:bookmarkEnd w:id="168"/>
    <w:bookmarkStart w:id="176" w:name="references"/>
    <w:p>
      <w:pPr>
        <w:pStyle w:val="Heading1"/>
      </w:pPr>
      <w:r>
        <w:t xml:space="preserve">References</w:t>
      </w:r>
    </w:p>
    <w:bookmarkStart w:id="175" w:name="refs"/>
    <w:bookmarkStart w:id="170"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69">
        <w:r>
          <w:rPr>
            <w:rStyle w:val="Hyperlink"/>
          </w:rPr>
          <w:t xml:space="preserve">https://doi.org/10.1177/1071181312561289</w:t>
        </w:r>
      </w:hyperlink>
    </w:p>
    <w:bookmarkEnd w:id="170"/>
    <w:bookmarkStart w:id="171"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71"/>
    <w:bookmarkStart w:id="173"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72">
        <w:r>
          <w:rPr>
            <w:rStyle w:val="Hyperlink"/>
          </w:rPr>
          <w:t xml:space="preserve">https://doi.org/10.1016/j.tics.2014.01.006</w:t>
        </w:r>
      </w:hyperlink>
    </w:p>
    <w:bookmarkEnd w:id="173"/>
    <w:bookmarkStart w:id="174"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my footnote text</w:t>
      </w:r>
    </w:p>
  </w:footnote>
  <w:footnote w:id="53">
    <w:p>
      <w:pPr>
        <w:pStyle w:val="FootnoteText"/>
      </w:pPr>
      <w:r>
        <w:rPr>
          <w:rStyle w:val="FootnoteReference"/>
        </w:rPr>
        <w:footnoteRef/>
      </w:r>
      <w:r>
        <w:t xml:space="preserve"> </w:t>
      </w:r>
      <w:r>
        <w:t xml:space="preserve">This is a random test.</w:t>
      </w:r>
    </w:p>
  </w:footnote>
  <w:footnote w:id="84">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85">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65" Target="media/rId65.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147" Target="media/rId147.png" /><Relationship Type="http://schemas.openxmlformats.org/officeDocument/2006/relationships/image" Id="rId152" Target="media/rId152.png" /><Relationship Type="http://schemas.openxmlformats.org/officeDocument/2006/relationships/image" Id="rId157" Target="media/rId157.png" /><Relationship Type="http://schemas.openxmlformats.org/officeDocument/2006/relationships/image" Id="rId72" Target="media/rId72.png" /><Relationship Type="http://schemas.openxmlformats.org/officeDocument/2006/relationships/image" Id="rId96" Target="media/rId96.jpg" /><Relationship Type="http://schemas.openxmlformats.org/officeDocument/2006/relationships/image" Id="rId55" Target="media/rId55.png" /><Relationship Type="http://schemas.openxmlformats.org/officeDocument/2006/relationships/image" Id="rId117" Target="media/rId117.png" /><Relationship Type="http://schemas.openxmlformats.org/officeDocument/2006/relationships/image" Id="rId58" Target="media/rId58.png" /><Relationship Type="http://schemas.openxmlformats.org/officeDocument/2006/relationships/hyperlink" Id="rId106" Target="http://criticmarkup.com" TargetMode="External" /><Relationship Type="http://schemas.openxmlformats.org/officeDocument/2006/relationships/hyperlink" Id="rId75" Target="https://bookdown.org/yihui/rmarkdown-cookbook/figure-placement.html" TargetMode="External" /><Relationship Type="http://schemas.openxmlformats.org/officeDocument/2006/relationships/hyperlink" Id="rId79" Target="https://bookdown.org/yihui/rmarkdown-cookbook/other-languages.html" TargetMode="External" /><Relationship Type="http://schemas.openxmlformats.org/officeDocument/2006/relationships/hyperlink" Id="rId109" Target="https://bookdown.org/yihui/rmarkdown/" TargetMode="External" /><Relationship Type="http://schemas.openxmlformats.org/officeDocument/2006/relationships/hyperlink" Id="rId70" Target="https://cran.r-project.org/web/packages/kableExtra/vignettes/awesome_table_in_html.html" TargetMode="External" /><Relationship Type="http://schemas.openxmlformats.org/officeDocument/2006/relationships/hyperlink" Id="rId172" Target="https://doi.org/10.1016/j.tics.2014.01.006" TargetMode="External" /><Relationship Type="http://schemas.openxmlformats.org/officeDocument/2006/relationships/hyperlink" Id="rId169" Target="https://doi.org/10.1177/1071181312561289" TargetMode="External" /><Relationship Type="http://schemas.openxmlformats.org/officeDocument/2006/relationships/hyperlink" Id="rId105" Target="https://github.com/rstudio/rmarkdown/issues/1463" TargetMode="External" /><Relationship Type="http://schemas.openxmlformats.org/officeDocument/2006/relationships/hyperlink" Id="rId114" Target="https://haozhu233.github.io/kableExtra/" TargetMode="External" /><Relationship Type="http://schemas.openxmlformats.org/officeDocument/2006/relationships/hyperlink" Id="rId104" Target="https://livefreeordichotomize.com/2018/09/14/one-year-to-dissertate/" TargetMode="External" /><Relationship Type="http://schemas.openxmlformats.org/officeDocument/2006/relationships/hyperlink" Id="rId88" Target="https://pandoc.org" TargetMode="External" /><Relationship Type="http://schemas.openxmlformats.org/officeDocument/2006/relationships/hyperlink" Id="rId110" Target="https://r4ds.had.co.nz" TargetMode="External" /><Relationship Type="http://schemas.openxmlformats.org/officeDocument/2006/relationships/hyperlink" Id="rId87" Target="https://retorque.re/zotero-better-bibtex/" TargetMode="External" /><Relationship Type="http://schemas.openxmlformats.org/officeDocument/2006/relationships/hyperlink" Id="rId85" Target="https://rmarkdown.rstudio.com/authoring_bibliographies_and_citations.html" TargetMode="External" /><Relationship Type="http://schemas.openxmlformats.org/officeDocument/2006/relationships/hyperlink" Id="rId91" Target="https://rstudio.github.io/visual-markdown-editing/citations.html" TargetMode="External" /><Relationship Type="http://schemas.openxmlformats.org/officeDocument/2006/relationships/hyperlink" Id="rId50" Target="https://www.google.com" TargetMode="External" /><Relationship Type="http://schemas.openxmlformats.org/officeDocument/2006/relationships/hyperlink" Id="rId38" Target="https://www.nottingham.ac.uk/helmopen/" TargetMode="External" /><Relationship Type="http://schemas.openxmlformats.org/officeDocument/2006/relationships/hyperlink" Id="rId107" Target="https://www.overleaf.com/" TargetMode="External" /><Relationship Type="http://schemas.openxmlformats.org/officeDocument/2006/relationships/hyperlink" Id="rId69" Target="https://www.rdocumentation.org/packages/knitr/versions/1.21/topics/kable" TargetMode="External" /><Relationship Type="http://schemas.openxmlformats.org/officeDocument/2006/relationships/hyperlink" Id="rId86" Target="https://www.zotero.org" TargetMode="External" /><Relationship Type="http://schemas.openxmlformats.org/officeDocument/2006/relationships/hyperlink" Id="rId8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106" Target="http://criticmarkup.com" TargetMode="External" /><Relationship Type="http://schemas.openxmlformats.org/officeDocument/2006/relationships/hyperlink" Id="rId75" Target="https://bookdown.org/yihui/rmarkdown-cookbook/figure-placement.html" TargetMode="External" /><Relationship Type="http://schemas.openxmlformats.org/officeDocument/2006/relationships/hyperlink" Id="rId79" Target="https://bookdown.org/yihui/rmarkdown-cookbook/other-languages.html" TargetMode="External" /><Relationship Type="http://schemas.openxmlformats.org/officeDocument/2006/relationships/hyperlink" Id="rId109" Target="https://bookdown.org/yihui/rmarkdown/" TargetMode="External" /><Relationship Type="http://schemas.openxmlformats.org/officeDocument/2006/relationships/hyperlink" Id="rId70" Target="https://cran.r-project.org/web/packages/kableExtra/vignettes/awesome_table_in_html.html" TargetMode="External" /><Relationship Type="http://schemas.openxmlformats.org/officeDocument/2006/relationships/hyperlink" Id="rId172" Target="https://doi.org/10.1016/j.tics.2014.01.006" TargetMode="External" /><Relationship Type="http://schemas.openxmlformats.org/officeDocument/2006/relationships/hyperlink" Id="rId169" Target="https://doi.org/10.1177/1071181312561289" TargetMode="External" /><Relationship Type="http://schemas.openxmlformats.org/officeDocument/2006/relationships/hyperlink" Id="rId105" Target="https://github.com/rstudio/rmarkdown/issues/1463" TargetMode="External" /><Relationship Type="http://schemas.openxmlformats.org/officeDocument/2006/relationships/hyperlink" Id="rId114" Target="https://haozhu233.github.io/kableExtra/" TargetMode="External" /><Relationship Type="http://schemas.openxmlformats.org/officeDocument/2006/relationships/hyperlink" Id="rId104" Target="https://livefreeordichotomize.com/2018/09/14/one-year-to-dissertate/" TargetMode="External" /><Relationship Type="http://schemas.openxmlformats.org/officeDocument/2006/relationships/hyperlink" Id="rId88" Target="https://pandoc.org" TargetMode="External" /><Relationship Type="http://schemas.openxmlformats.org/officeDocument/2006/relationships/hyperlink" Id="rId110" Target="https://r4ds.had.co.nz" TargetMode="External" /><Relationship Type="http://schemas.openxmlformats.org/officeDocument/2006/relationships/hyperlink" Id="rId87" Target="https://retorque.re/zotero-better-bibtex/" TargetMode="External" /><Relationship Type="http://schemas.openxmlformats.org/officeDocument/2006/relationships/hyperlink" Id="rId85" Target="https://rmarkdown.rstudio.com/authoring_bibliographies_and_citations.html" TargetMode="External" /><Relationship Type="http://schemas.openxmlformats.org/officeDocument/2006/relationships/hyperlink" Id="rId91" Target="https://rstudio.github.io/visual-markdown-editing/citations.html" TargetMode="External" /><Relationship Type="http://schemas.openxmlformats.org/officeDocument/2006/relationships/hyperlink" Id="rId50" Target="https://www.google.com" TargetMode="External" /><Relationship Type="http://schemas.openxmlformats.org/officeDocument/2006/relationships/hyperlink" Id="rId38" Target="https://www.nottingham.ac.uk/helmopen/" TargetMode="External" /><Relationship Type="http://schemas.openxmlformats.org/officeDocument/2006/relationships/hyperlink" Id="rId107" Target="https://www.overleaf.com/" TargetMode="External" /><Relationship Type="http://schemas.openxmlformats.org/officeDocument/2006/relationships/hyperlink" Id="rId69" Target="https://www.rdocumentation.org/packages/knitr/versions/1.21/topics/kable" TargetMode="External" /><Relationship Type="http://schemas.openxmlformats.org/officeDocument/2006/relationships/hyperlink" Id="rId86" Target="https://www.zotero.org" TargetMode="External" /><Relationship Type="http://schemas.openxmlformats.org/officeDocument/2006/relationships/hyperlink" Id="rId8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2022-12-24T00:39:25Z</dcterms:created>
  <dcterms:modified xsi:type="dcterms:W3CDTF">2022-12-24T00:39:25Z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