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79.png" ContentType="image/png"/>
  <Override PartName="/word/media/rId38.png" ContentType="image/png"/>
  <Override PartName="/word/media/rId87.png" ContentType="image/png"/>
  <Override PartName="/word/media/rId84.png" ContentType="image/png"/>
  <Override PartName="/word/media/rId61.png" ContentType="image/png"/>
  <Override PartName="/word/media/rId65.png" ContentType="image/png"/>
  <Override PartName="/word/media/rId68.png" ContentType="image/png"/>
  <Override PartName="/word/media/rId72.png" ContentType="image/png"/>
  <Override PartName="/word/media/rId76.png" ContentType="image/png"/>
  <Override PartName="/word/media/rId103.png" ContentType="image/png"/>
  <Override PartName="/word/media/rId51.png" ContentType="image/png"/>
  <Override PartName="/word/media/rId96.png" ContentType="image/png"/>
  <Override PartName="/word/media/rId22.png" ContentType="image/png"/>
  <Override PartName="/word/media/rId111.png" ContentType="image/png"/>
  <Override PartName="/word/media/rId99.png" ContentType="image/png"/>
  <Override PartName="/word/media/rId108.png" ContentType="image/png"/>
  <Override PartName="/word/media/rId48.png" ContentType="image/png"/>
  <Override PartName="/word/media/rId5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93" w:name="rmd-basics"/>
    <w:p>
      <w:pPr>
        <w:pStyle w:val="Heading1"/>
      </w:pPr>
      <w:r>
        <w:rPr>
          <w:rStyle w:val="SectionNumber"/>
        </w:rPr>
        <w:t xml:space="preserve">2</w:t>
      </w:r>
      <w:r>
        <w:tab/>
      </w:r>
      <w:r>
        <w:t xml:space="preserve">Results</w:t>
      </w:r>
    </w:p>
    <w:p>
      <w:pPr>
        <w:pStyle w:val="FirstParagraph"/>
      </w:pPr>
    </w:p>
    <w:p>
      <w:pPr>
        <w:pStyle w:val="BodyText"/>
      </w:pPr>
    </w:p>
    <w:bookmarkStart w:id="44"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p>
    <w:tbl>
      <w:tblPr>
        <w:tblStyle w:val="Table"/>
        <w:tblW w:type="auto" w:w="0"/>
        <w:tblLook w:firstRow="1" w:lastRow="0" w:firstColumn="0" w:lastColumn="0" w:noHBand="0" w:noVBand="0" w:val="0020"/>
        <w:tblCaption w:val="Previous Chatbot Usage of Participants"/>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16</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CaptionedFigure"/>
      </w:pPr>
      <w:r>
        <w:drawing>
          <wp:inline>
            <wp:extent cx="4620126" cy="3696101"/>
            <wp:effectExtent b="0" l="0" r="0" t="0"/>
            <wp:docPr descr="Figure 2.1: Chatbot Usage History- 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Most learners use books or online books as resources. They may use</w:t>
      </w:r>
      <w:r>
        <w:t xml:space="preserve"> </w:t>
      </w:r>
      <w:r>
        <w:t xml:space="preserve">multiple sources however they were asked to note the primary source.</w:t>
      </w:r>
      <w:r>
        <w:t xml:space="preserve"> </w:t>
      </w:r>
      <w:r>
        <w:t xml:space="preserve">Only 6 stated their primary sources were</w:t>
      </w:r>
      <w:r>
        <w:t xml:space="preserve"> </w:t>
      </w:r>
      <w:r>
        <w:rPr>
          <w:iCs/>
          <w:i/>
        </w:rPr>
        <w:t xml:space="preserve">Online videos/interactive</w:t>
      </w:r>
      <w:r>
        <w:rPr>
          <w:iCs/>
          <w:i/>
        </w:rPr>
        <w:t xml:space="preserve"> </w:t>
      </w:r>
      <w:r>
        <w:rPr>
          <w:iCs/>
          <w:i/>
        </w:rPr>
        <w:t xml:space="preserve">materials</w:t>
      </w:r>
      <w:r>
        <w:t xml:space="preserve"> </w:t>
      </w:r>
      <w:r>
        <w:t xml:space="preserve">which includes such tools as chatbots.</w:t>
      </w:r>
    </w:p>
    <w:p>
      <w:pPr>
        <w:pStyle w:val="BodyText"/>
      </w:pPr>
      <w:r>
        <w:t xml:space="preserve">The first boxplot (</w:t>
      </w:r>
      <w:r>
        <w:t xml:space="preserve">2.1</w:t>
      </w:r>
      <w:r>
        <w:t xml:space="preserve">) shows learners perceptions</w:t>
      </w:r>
      <w:r>
        <w:t xml:space="preserve"> </w:t>
      </w:r>
      <w:r>
        <w:t xml:space="preserve">of easy of use of mobile app and other educational mobile resources</w:t>
      </w:r>
    </w:p>
    <w:p>
      <w:pPr>
        <w:pStyle w:val="CaptionedFigure"/>
      </w:pPr>
      <w:r>
        <w:drawing>
          <wp:inline>
            <wp:extent cx="4620126" cy="3696101"/>
            <wp:effectExtent b="0" l="0" r="0" t="0"/>
            <wp:docPr descr="Figure 2.2: Chatbots are Useful Opinion- Pre" title="" id="42" name="Picture"/>
            <a:graphic>
              <a:graphicData uri="http://schemas.openxmlformats.org/drawingml/2006/picture">
                <pic:pic>
                  <pic:nvPicPr>
                    <pic:cNvPr descr="_main_files/figure-docx/BoxplotUsefulPre-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w:t>
      </w:r>
      <w:r>
        <w:t xml:space="preserve"> </w:t>
      </w:r>
      <w:r>
        <w:t xml:space="preserve">the usefulness of chatbots. Many had not had experience with them yet</w:t>
      </w:r>
      <w:r>
        <w:t xml:space="preserve"> </w:t>
      </w:r>
      <w:r>
        <w:t xml:space="preserve">had positive rating. This positive opinions of chatbots may be from</w:t>
      </w:r>
      <w:r>
        <w:t xml:space="preserve"> </w:t>
      </w:r>
      <w:r>
        <w:t xml:space="preserve">colleagues, friends, media, tutors, or other social information of the</w:t>
      </w:r>
      <w:r>
        <w:t xml:space="preserve"> </w:t>
      </w:r>
      <w:r>
        <w:t xml:space="preserve">benefits in healthcare education. Around 25% were neutral or disagreed</w:t>
      </w:r>
      <w:r>
        <w:t xml:space="preserve"> </w:t>
      </w:r>
      <w:r>
        <w:t xml:space="preserve">that healthcare chatbots were useful.</w:t>
      </w:r>
    </w:p>
    <w:p>
      <w:pPr>
        <w:pStyle w:val="BodyText"/>
      </w:pPr>
      <w:r>
        <w:rPr>
          <w:iCs/>
          <w:i/>
          <w:bCs/>
          <w:b/>
        </w:rPr>
        <w:t xml:space="preserve">The participants then used the 4 chatbots, and completed the</w:t>
      </w:r>
      <w:r>
        <w:rPr>
          <w:iCs/>
          <w:i/>
          <w:bCs/>
          <w:b/>
        </w:rPr>
        <w:t xml:space="preserve"> </w:t>
      </w:r>
      <w:r>
        <w:rPr>
          <w:iCs/>
          <w:i/>
          <w:bCs/>
          <w:b/>
        </w:rPr>
        <w:t xml:space="preserve">post-usage survey after each chatbot. Results after use are as</w:t>
      </w:r>
      <w:r>
        <w:rPr>
          <w:iCs/>
          <w:i/>
          <w:bCs/>
          <w:b/>
        </w:rPr>
        <w:t xml:space="preserve"> </w:t>
      </w:r>
      <w:r>
        <w:rPr>
          <w:iCs/>
          <w:i/>
          <w:bCs/>
          <w:b/>
        </w:rPr>
        <w:t xml:space="preserve">followed:</w:t>
      </w:r>
    </w:p>
    <w:bookmarkEnd w:id="44"/>
    <w:bookmarkStart w:id="55" w:name="chatbot-usability-questionnaire-cuq-1"/>
    <w:p>
      <w:pPr>
        <w:pStyle w:val="Heading2"/>
      </w:pPr>
      <w:r>
        <w:rPr>
          <w:rStyle w:val="SectionNumber"/>
        </w:rPr>
        <w:t xml:space="preserve">2.2</w:t>
      </w:r>
      <w:r>
        <w:tab/>
      </w:r>
      <w:r>
        <w:t xml:space="preserve">Chatbot Usability Questionnaire (CUQ)</w:t>
      </w:r>
    </w:p>
    <w:bookmarkStart w:id="54"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5">
        <w:r>
          <w:rPr>
            <w:rStyle w:val="Hyperlink"/>
          </w:rPr>
          <w:t xml:space="preserve">Link</w:t>
        </w:r>
      </w:hyperlink>
      <w:r>
        <w:t xml:space="preserve"> </w:t>
      </w:r>
      <w:r>
        <w:t xml:space="preserve">and as the calculation can be complex, a dedicated calculation tool has</w:t>
      </w:r>
      <w:r>
        <w:t xml:space="preserve"> </w:t>
      </w:r>
      <w:r>
        <w:t xml:space="preserve">been created.</w:t>
      </w:r>
    </w:p>
    <w:p>
      <w:pPr>
        <w:pStyle w:val="BodyText"/>
      </w:pPr>
      <w:r>
        <w:t xml:space="preserve">Please download the CEPEH CUQ calculation tool which has all of the data</w:t>
      </w:r>
      <w:r>
        <w:t xml:space="preserve"> </w:t>
      </w:r>
      <w:r>
        <w:t xml:space="preserve">entered, so you can see the CEPEH CUQ scoring</w:t>
      </w:r>
    </w:p>
    <w:p>
      <w:pPr>
        <w:pStyle w:val="BodyText"/>
      </w:pPr>
      <w:hyperlink r:id="rId46">
        <w:r>
          <w:rPr>
            <w:rStyle w:val="Hyperlink"/>
          </w:rPr>
          <w:t xml:space="preserve">Click here to download CUQ calc tool</w:t>
        </w:r>
      </w:hyperlink>
    </w:p>
    <w:p>
      <w:pPr>
        <w:pStyle w:val="BodyText"/>
      </w:pPr>
      <w:hyperlink r:id="rId47">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49" name="Picture"/>
            <a:graphic>
              <a:graphicData uri="http://schemas.openxmlformats.org/drawingml/2006/picture">
                <pic:pic>
                  <pic:nvPicPr>
                    <pic:cNvPr descr="cuq.png" id="50" name="Picture"/>
                    <pic:cNvPicPr>
                      <a:picLocks noChangeArrowheads="1" noChangeAspect="1"/>
                    </pic:cNvPicPr>
                  </pic:nvPicPr>
                  <pic:blipFill>
                    <a:blip r:embed="rId48"/>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w:t>
      </w:r>
      <w:r>
        <w:t xml:space="preserve"> </w:t>
      </w:r>
      <w:r>
        <w:t xml:space="preserve">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52" name="Picture"/>
            <a:graphic>
              <a:graphicData uri="http://schemas.openxmlformats.org/drawingml/2006/picture">
                <pic:pic>
                  <pic:nvPicPr>
                    <pic:cNvPr descr="_main_files/figure-docx/CUQscatterplot-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w:t>
      </w:r>
      <w:r>
        <w:t xml:space="preserve"> </w:t>
      </w:r>
      <w:r>
        <w:t xml:space="preserve">plot to highlight how there was a moderate distribution of results.</w:t>
      </w:r>
      <w:r>
        <w:t xml:space="preserve"> </w:t>
      </w:r>
      <w:r>
        <w:t xml:space="preserve">Further exploration is required to understand which elements are causing</w:t>
      </w:r>
      <w:r>
        <w:t xml:space="preserve"> </w:t>
      </w:r>
      <w:r>
        <w:t xml:space="preserve">this spread, and if it was due to problems within a small group of</w:t>
      </w:r>
      <w:r>
        <w:t xml:space="preserve"> </w:t>
      </w:r>
      <w:r>
        <w:t xml:space="preserve">learners.</w:t>
      </w:r>
    </w:p>
    <w:bookmarkEnd w:id="54"/>
    <w:bookmarkEnd w:id="55"/>
    <w:bookmarkStart w:id="56"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obscured by the CUQ scores,</w:t>
      </w:r>
      <w:r>
        <w:t xml:space="preserve"> </w:t>
      </w:r>
      <w:r>
        <w:t xml:space="preserve">expect 2 that did not have cross-over. The two questions were:</w:t>
      </w:r>
    </w:p>
    <w:p>
      <w:pPr>
        <w:numPr>
          <w:ilvl w:val="0"/>
          <w:numId w:val="1002"/>
        </w:numPr>
        <w:pStyle w:val="Compact"/>
      </w:pPr>
      <w:r>
        <w:t xml:space="preserve">I would like to use the CEPEH chatbot I tested, more frequently</w:t>
      </w:r>
      <w:r>
        <w:t xml:space="preserve"> </w:t>
      </w:r>
      <w:r>
        <w:t xml:space="preserve">(SUS1)(post)</w:t>
      </w:r>
    </w:p>
    <w:p>
      <w:pPr>
        <w:numPr>
          <w:ilvl w:val="0"/>
          <w:numId w:val="1002"/>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Confident</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 above shows the results for agreement participants may</w:t>
      </w:r>
      <w:r>
        <w:t xml:space="preserve"> </w:t>
      </w:r>
      <w:r>
        <w:t xml:space="preserve">continue to use the CEPEH chatbots: 89/126 (70%) agreed or strongly</w:t>
      </w:r>
      <w:r>
        <w:t xml:space="preserve"> </w:t>
      </w:r>
      <w:r>
        <w:t xml:space="preserve">agreed. However, there were 23 records that learners were neutral or</w:t>
      </w:r>
      <w:r>
        <w:t xml:space="preserve"> </w:t>
      </w:r>
      <w:r>
        <w:t xml:space="preserve">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This table shows the distribution of agreement for participants for all</w:t>
      </w:r>
      <w:r>
        <w:t xml:space="preserve"> </w:t>
      </w:r>
      <w:r>
        <w:t xml:space="preserve">4 chatbots. The table shows 90/126 records that participants feel they</w:t>
      </w:r>
      <w:r>
        <w:t xml:space="preserve"> </w:t>
      </w:r>
      <w:r>
        <w:t xml:space="preserve">are confident in using the chatbots. However, 21/126 (16%) were neutral</w:t>
      </w:r>
      <w:r>
        <w:t xml:space="preserve"> </w:t>
      </w:r>
      <w:r>
        <w:t xml:space="preserve">and 11/126 (8.5%) disagreed and this was explored in the qualitative</w:t>
      </w:r>
      <w:r>
        <w:t xml:space="preserve"> </w:t>
      </w:r>
      <w:r>
        <w:t xml:space="preserve">analysis section.</w:t>
      </w:r>
    </w:p>
    <w:bookmarkEnd w:id="56"/>
    <w:bookmarkStart w:id="60"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3"/>
        </w:numPr>
        <w:pStyle w:val="Compact"/>
      </w:pPr>
      <w:r>
        <w:t xml:space="preserve">Using CEPEH chatbots would enable me to accomplish tasks more</w:t>
      </w:r>
      <w:r>
        <w:t xml:space="preserve"> </w:t>
      </w:r>
      <w:r>
        <w:t xml:space="preserve">quickly</w:t>
      </w:r>
    </w:p>
    <w:p>
      <w:pPr>
        <w:numPr>
          <w:ilvl w:val="0"/>
          <w:numId w:val="1003"/>
        </w:numPr>
        <w:pStyle w:val="Compact"/>
      </w:pPr>
      <w:r>
        <w:t xml:space="preserve">Using CEPEH chatbots would increase performance</w:t>
      </w:r>
    </w:p>
    <w:p>
      <w:pPr>
        <w:numPr>
          <w:ilvl w:val="0"/>
          <w:numId w:val="1003"/>
        </w:numPr>
        <w:pStyle w:val="Compact"/>
      </w:pPr>
      <w:r>
        <w:t xml:space="preserve">Using CEPEH chatbots would increase my productivity</w:t>
      </w:r>
    </w:p>
    <w:p>
      <w:pPr>
        <w:numPr>
          <w:ilvl w:val="0"/>
          <w:numId w:val="1003"/>
        </w:numPr>
        <w:pStyle w:val="Compact"/>
      </w:pPr>
      <w:r>
        <w:t xml:space="preserve">I would find CEPEH chatbots useful on my course</w:t>
      </w:r>
    </w:p>
    <w:p>
      <w:pPr>
        <w:pStyle w:val="FirstParagraph"/>
      </w:pPr>
      <w:r>
        <w:t xml:space="preserve">Perceived Easy of Use (PEU)</w:t>
      </w:r>
    </w:p>
    <w:p>
      <w:pPr>
        <w:numPr>
          <w:ilvl w:val="0"/>
          <w:numId w:val="1004"/>
        </w:numPr>
      </w:pPr>
      <w:r>
        <w:t xml:space="preserve">Learning to use CEPEH chatbots would be easy to me</w:t>
      </w:r>
    </w:p>
    <w:p>
      <w:pPr>
        <w:numPr>
          <w:ilvl w:val="0"/>
          <w:numId w:val="1004"/>
        </w:numPr>
      </w:pPr>
      <w:r>
        <w:t xml:space="preserve">It would be easy for me to be skilful at using CEPEH chatbots</w:t>
      </w:r>
    </w:p>
    <w:p>
      <w:pPr>
        <w:numPr>
          <w:ilvl w:val="0"/>
          <w:numId w:val="1004"/>
        </w:numPr>
      </w:pPr>
      <w:r>
        <w:t xml:space="preserve">My interactions with CEPEH chatbots would be clear and</w:t>
      </w:r>
      <w:r>
        <w:t xml:space="preserve"> </w:t>
      </w:r>
      <w:r>
        <w:t xml:space="preserve">understandable</w:t>
      </w:r>
    </w:p>
    <w:p>
      <w:pPr>
        <w:numPr>
          <w:ilvl w:val="0"/>
          <w:numId w:val="1004"/>
        </w:numPr>
      </w:pPr>
      <w:r>
        <w:t xml:space="preserve">I would find CEPEH chatbots easy to use</w:t>
      </w:r>
    </w:p>
    <w:p>
      <w:pPr>
        <w:pStyle w:val="FirstParagraph"/>
      </w:pPr>
      <w:r>
        <w:rPr>
          <w:iCs/>
          <w:i/>
        </w:rPr>
        <w:t xml:space="preserve">Results</w:t>
      </w:r>
    </w:p>
    <w:p>
      <w:pPr>
        <w:pStyle w:val="BodyText"/>
      </w:pPr>
      <w:r>
        <w:t xml:space="preserve">The scores as a percentage of agreement, were calculated by averaging</w:t>
      </w:r>
      <w:r>
        <w:t xml:space="preserve"> </w:t>
      </w:r>
      <w:r>
        <w:t xml:space="preserve">the subsets and interpreted as:</w:t>
      </w:r>
    </w:p>
    <w:p>
      <w:pPr>
        <w:numPr>
          <w:ilvl w:val="0"/>
          <w:numId w:val="1005"/>
        </w:numPr>
      </w:pPr>
      <w:r>
        <w:t xml:space="preserve">Before using the CEPEH chatbots, there was 66% (2.2/5) agreement for</w:t>
      </w:r>
      <w:r>
        <w:t xml:space="preserve"> </w:t>
      </w:r>
      <w:r>
        <w:t xml:space="preserve">the Perceived Usefulness of chatbots in healthcare education, and</w:t>
      </w:r>
      <w:r>
        <w:t xml:space="preserve"> </w:t>
      </w:r>
      <w:r>
        <w:t xml:space="preserve">after 48% (2.6/5) agreed.</w:t>
      </w:r>
    </w:p>
    <w:p>
      <w:pPr>
        <w:numPr>
          <w:ilvl w:val="0"/>
          <w:numId w:val="1005"/>
        </w:numPr>
      </w:pPr>
      <w:r>
        <w:t xml:space="preserve">Before using the CEPEH chatbots, there was 64% (2.3) agreement for</w:t>
      </w:r>
      <w:r>
        <w:t xml:space="preserve"> </w:t>
      </w:r>
      <w:r>
        <w:t xml:space="preserve">Perceived Ease of Use of chatbots in healthcare education, and after</w:t>
      </w:r>
      <w:r>
        <w:t xml:space="preserve"> </w:t>
      </w:r>
      <w:r>
        <w:t xml:space="preserve">51% (2.56) agreed.</w:t>
      </w:r>
    </w:p>
    <w:p>
      <w:pPr>
        <w:pStyle w:val="FirstParagraph"/>
      </w:pPr>
      <w:r>
        <w:t xml:space="preserve">The justification for this may be due to being early versions of</w:t>
      </w:r>
      <w:r>
        <w:t xml:space="preserve"> </w:t>
      </w:r>
      <w:r>
        <w:t xml:space="preserve">applications with limited functionality and functions which can be</w:t>
      </w:r>
      <w:r>
        <w:t xml:space="preserve"> </w:t>
      </w:r>
      <w:r>
        <w:t xml:space="preserve">difficult for user to experience the intended further range of features</w:t>
      </w:r>
      <w:r>
        <w:t xml:space="preserve"> </w:t>
      </w:r>
      <w:r>
        <w:t xml:space="preserve">and learning exercises.</w:t>
      </w:r>
    </w:p>
    <w:p>
      <w:pPr>
        <w:pStyle w:val="CaptionedFigure"/>
      </w:pPr>
      <w:r>
        <w:drawing>
          <wp:inline>
            <wp:extent cx="3820043" cy="1239287"/>
            <wp:effectExtent b="0" l="0" r="0" t="0"/>
            <wp:docPr descr="Figure 2.5: TAM Model processes" title="" id="58" name="Picture"/>
            <a:graphic>
              <a:graphicData uri="http://schemas.openxmlformats.org/drawingml/2006/picture">
                <pic:pic>
                  <pic:nvPicPr>
                    <pic:cNvPr descr="tam1.png" id="59" name="Picture"/>
                    <pic:cNvPicPr>
                      <a:picLocks noChangeArrowheads="1" noChangeAspect="1"/>
                    </pic:cNvPicPr>
                  </pic:nvPicPr>
                  <pic:blipFill>
                    <a:blip r:embed="rId57"/>
                    <a:stretch>
                      <a:fillRect/>
                    </a:stretch>
                  </pic:blipFill>
                  <pic:spPr bwMode="auto">
                    <a:xfrm>
                      <a:off x="0" y="0"/>
                      <a:ext cx="3820043" cy="1239287"/>
                    </a:xfrm>
                    <a:prstGeom prst="rect">
                      <a:avLst/>
                    </a:prstGeom>
                    <a:noFill/>
                    <a:ln w="9525">
                      <a:noFill/>
                      <a:headEnd/>
                      <a:tailEnd/>
                    </a:ln>
                  </pic:spPr>
                </pic:pic>
              </a:graphicData>
            </a:graphic>
          </wp:inline>
        </w:drawing>
      </w:r>
    </w:p>
    <w:p>
      <w:pPr>
        <w:pStyle w:val="ImageCaption"/>
      </w:pPr>
      <w:r>
        <w:t xml:space="preserve">Figure 2.5: TAM Model processes</w:t>
      </w:r>
    </w:p>
    <w:bookmarkEnd w:id="60"/>
    <w:bookmarkStart w:id="83" w:name="other-measeures"/>
    <w:p>
      <w:pPr>
        <w:pStyle w:val="Heading2"/>
      </w:pPr>
      <w:r>
        <w:rPr>
          <w:rStyle w:val="SectionNumber"/>
        </w:rPr>
        <w:t xml:space="preserve">2.5</w:t>
      </w:r>
      <w:r>
        <w:tab/>
      </w:r>
      <w:r>
        <w:t xml:space="preserve">Other Measeures</w:t>
      </w:r>
    </w:p>
    <w:bookmarkStart w:id="64" w:name="knowledge-of-topics-after-use"/>
    <w:p>
      <w:pPr>
        <w:pStyle w:val="Heading3"/>
      </w:pPr>
      <w:r>
        <w:rPr>
          <w:rStyle w:val="SectionNumber"/>
        </w:rPr>
        <w:t xml:space="preserve">2.5.1</w:t>
      </w:r>
      <w:r>
        <w:tab/>
      </w:r>
      <w:r>
        <w:t xml:space="preserve">Knowledge of Topics after Use</w:t>
      </w:r>
    </w:p>
    <w:p>
      <w:pPr>
        <w:pStyle w:val="CaptionedFigure"/>
      </w:pPr>
      <w:r>
        <w:drawing>
          <wp:inline>
            <wp:extent cx="4620126" cy="3696101"/>
            <wp:effectExtent b="0" l="0" r="0" t="0"/>
            <wp:docPr descr="Figure 2.6: Improvements in Knowledge" title="" id="62" name="Picture"/>
            <a:graphic>
              <a:graphicData uri="http://schemas.openxmlformats.org/drawingml/2006/picture">
                <pic:pic>
                  <pic:nvPicPr>
                    <pic:cNvPr descr="_main_files/figure-docx/Boxplotsplits5-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Improvements in Knowledge</w:t>
      </w:r>
    </w:p>
    <w:p>
      <w:pPr>
        <w:pStyle w:val="BodyText"/>
      </w:pPr>
      <w:r>
        <w:t xml:space="preserve">CYENS chatbot had around 10 more participants stating that they were</w:t>
      </w:r>
      <w:r>
        <w:t xml:space="preserve"> </w:t>
      </w:r>
      <w:r>
        <w:t xml:space="preserve">neutral on gaining knowledge of the topic</w:t>
      </w:r>
    </w:p>
    <w:bookmarkEnd w:id="64"/>
    <w:bookmarkStart w:id="71" w:name="trust-in-cepeh-chatbots-after-use"/>
    <w:p>
      <w:pPr>
        <w:pStyle w:val="Heading3"/>
      </w:pPr>
      <w:r>
        <w:rPr>
          <w:rStyle w:val="SectionNumber"/>
        </w:rPr>
        <w:t xml:space="preserve">2.5.2</w:t>
      </w:r>
      <w:r>
        <w:tab/>
      </w:r>
      <w:r>
        <w:t xml:space="preserve">Trust in CEPEH chatbots after Use</w:t>
      </w:r>
    </w:p>
    <w:p>
      <w:pPr>
        <w:pStyle w:val="CaptionedFigure"/>
      </w:pPr>
      <w:r>
        <w:drawing>
          <wp:inline>
            <wp:extent cx="4620126" cy="3696101"/>
            <wp:effectExtent b="0" l="0" r="0" t="0"/>
            <wp:docPr descr="Figure 2.7: Trust Chatbots POST use" title="" id="66" name="Picture"/>
            <a:graphic>
              <a:graphicData uri="http://schemas.openxmlformats.org/drawingml/2006/picture">
                <pic:pic>
                  <pic:nvPicPr>
                    <pic:cNvPr descr="_main_files/figure-docx/Boxplotsplits6-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2.7: Trust Chatbots POST use</w:t>
      </w:r>
    </w:p>
    <w:p>
      <w:pPr>
        <w:pStyle w:val="BodyText"/>
      </w:pPr>
      <w:r>
        <w:t xml:space="preserve">The figure above, (</w:t>
      </w:r>
      <w:r>
        <w:t xml:space="preserve">2.7</w:t>
      </w:r>
      <w:r>
        <w:t xml:space="preserve">) shows the ratings by</w:t>
      </w:r>
      <w:r>
        <w:t xml:space="preserve"> </w:t>
      </w:r>
      <w:r>
        <w:t xml:space="preserve">participants of the CEPEH Chatbots to provide them with the necessary</w:t>
      </w:r>
      <w:r>
        <w:t xml:space="preserve"> </w:t>
      </w:r>
      <w:r>
        <w:t xml:space="preserve">course information. This is a integral element in learners’ motivational</w:t>
      </w:r>
      <w:r>
        <w:t xml:space="preserve"> </w:t>
      </w:r>
      <w:r>
        <w:t xml:space="preserve">and educational choices to reuse the learning resources. As previously</w:t>
      </w:r>
      <w:r>
        <w:t xml:space="preserve"> </w:t>
      </w:r>
      <w:r>
        <w:t xml:space="preserve">described, the trust of the information is also a factor in these</w:t>
      </w:r>
      <w:r>
        <w:t xml:space="preserve"> </w:t>
      </w:r>
      <w:r>
        <w:t xml:space="preserve">responses.</w:t>
      </w:r>
    </w:p>
    <w:p>
      <w:pPr>
        <w:pStyle w:val="BodyText"/>
      </w:pPr>
      <w:r>
        <w:drawing>
          <wp:inline>
            <wp:extent cx="4620126" cy="3696101"/>
            <wp:effectExtent b="0" l="0" r="0" t="0"/>
            <wp:docPr descr="" title="" id="69" name="Picture"/>
            <a:graphic>
              <a:graphicData uri="http://schemas.openxmlformats.org/drawingml/2006/picture">
                <pic:pic>
                  <pic:nvPicPr>
                    <pic:cNvPr descr="_main_files/figure-docx/Boxplotsplits7-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bookmarkEnd w:id="71"/>
    <w:bookmarkStart w:id="75" w:name="personailty-and-interactions"/>
    <w:p>
      <w:pPr>
        <w:pStyle w:val="Heading3"/>
      </w:pPr>
      <w:r>
        <w:rPr>
          <w:rStyle w:val="SectionNumber"/>
        </w:rPr>
        <w:t xml:space="preserve">2.5.3</w:t>
      </w:r>
      <w:r>
        <w:tab/>
      </w:r>
      <w:r>
        <w:t xml:space="preserve">Personailty and Interactions</w:t>
      </w:r>
    </w:p>
    <w:p>
      <w:pPr>
        <w:pStyle w:val="FirstParagraph"/>
      </w:pPr>
      <w:r>
        <w:drawing>
          <wp:inline>
            <wp:extent cx="4620126" cy="3696101"/>
            <wp:effectExtent b="0" l="0" r="0" t="0"/>
            <wp:docPr descr="" title="" id="73" name="Picture"/>
            <a:graphic>
              <a:graphicData uri="http://schemas.openxmlformats.org/drawingml/2006/picture">
                <pic:pic>
                  <pic:nvPicPr>
                    <pic:cNvPr descr="_main_files/figure-docx/Boxplotsplits8-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p>
      <w:pPr>
        <w:pStyle w:val="BodyText"/>
      </w:pPr>
      <w:r>
        <w:t xml:space="preserve">The CYENS medical patient chatbot had more complex pathways of</w:t>
      </w:r>
      <w:r>
        <w:t xml:space="preserve"> </w:t>
      </w:r>
      <w:r>
        <w:t xml:space="preserve">interactions,</w:t>
      </w:r>
    </w:p>
    <w:bookmarkEnd w:id="75"/>
    <w:bookmarkStart w:id="82" w:name="ease-of-use-and-seeking-support"/>
    <w:p>
      <w:pPr>
        <w:pStyle w:val="Heading3"/>
      </w:pPr>
      <w:r>
        <w:rPr>
          <w:rStyle w:val="SectionNumber"/>
        </w:rPr>
        <w:t xml:space="preserve">2.5.4</w:t>
      </w:r>
      <w:r>
        <w:tab/>
      </w:r>
      <w:r>
        <w:t xml:space="preserve">Ease of Use and Seeking Support</w:t>
      </w:r>
    </w:p>
    <w:p>
      <w:pPr>
        <w:pStyle w:val="CaptionedFigure"/>
      </w:pPr>
      <w:r>
        <w:drawing>
          <wp:inline>
            <wp:extent cx="4620126" cy="3696101"/>
            <wp:effectExtent b="0" l="0" r="0" t="0"/>
            <wp:docPr descr="Figure 2.8: Ease of Use Comparison" title="" id="77" name="Picture"/>
            <a:graphic>
              <a:graphicData uri="http://schemas.openxmlformats.org/drawingml/2006/picture">
                <pic:pic>
                  <pic:nvPicPr>
                    <pic:cNvPr descr="_main_files/figure-docx/Boxplotsplits9-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2.8: Ease of Use Comparison</w:t>
      </w:r>
    </w:p>
    <w:p>
      <w:pPr>
        <w:pStyle w:val="BodyText"/>
      </w:pPr>
      <w:r>
        <w:t xml:space="preserve">After usage, there was only agreement in Ease of Use- as shown in</w:t>
      </w:r>
      <w:r>
        <w:t xml:space="preserve"> </w:t>
      </w:r>
      <w:r>
        <w:t xml:space="preserve">(</w:t>
      </w:r>
      <w:r>
        <w:t xml:space="preserve">2.8</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BodyText"/>
      </w:pPr>
      <w:r>
        <w:drawing>
          <wp:inline>
            <wp:extent cx="4620126" cy="3696101"/>
            <wp:effectExtent b="0" l="0" r="0" t="0"/>
            <wp:docPr descr="" title="" id="80" name="Picture"/>
            <a:graphic>
              <a:graphicData uri="http://schemas.openxmlformats.org/drawingml/2006/picture">
                <pic:pic>
                  <pic:nvPicPr>
                    <pic:cNvPr descr="_main_files/figure-docx/Boxplotsplits10-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82"/>
    <w:bookmarkEnd w:id="83"/>
    <w:bookmarkStart w:id="91" w:name="inferential-statistics"/>
    <w:p>
      <w:pPr>
        <w:pStyle w:val="Heading2"/>
      </w:pPr>
      <w:r>
        <w:rPr>
          <w:rStyle w:val="SectionNumber"/>
        </w:rPr>
        <w:t xml:space="preserve">2.6</w:t>
      </w:r>
      <w:r>
        <w:tab/>
      </w:r>
      <w:r>
        <w:t xml:space="preserve">Inferential Statistics</w:t>
      </w:r>
    </w:p>
    <w:bookmarkStart w:id="90" w:name="repeated-measures-t-test-results"/>
    <w:p>
      <w:pPr>
        <w:pStyle w:val="Heading3"/>
      </w:pPr>
      <w:r>
        <w:rPr>
          <w:rStyle w:val="SectionNumber"/>
        </w:rPr>
        <w:t xml:space="preserve">2.6.1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2.9</w:t>
      </w:r>
      <w:r>
        <w:t xml:space="preserve">).</w:t>
      </w:r>
    </w:p>
    <w:p>
      <w:pPr>
        <w:pStyle w:val="CaptionedFigure"/>
      </w:pPr>
      <w:r>
        <w:drawing>
          <wp:inline>
            <wp:extent cx="4620126" cy="3696101"/>
            <wp:effectExtent b="0" l="0" r="0" t="0"/>
            <wp:docPr descr="Figure 2.9: Intend to Reuse-Post" title="" id="85" name="Picture"/>
            <a:graphic>
              <a:graphicData uri="http://schemas.openxmlformats.org/drawingml/2006/picture">
                <pic:pic>
                  <pic:nvPicPr>
                    <pic:cNvPr descr="_main_files/figure-docx/Boxplotsplits4-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2.9: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10: Easy to Use- Post" title="" id="88" name="Picture"/>
            <a:graphic>
              <a:graphicData uri="http://schemas.openxmlformats.org/drawingml/2006/picture">
                <pic:pic>
                  <pic:nvPicPr>
                    <pic:cNvPr descr="_main_files/figure-docx/Boxplotsplits3-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2.10: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90"/>
    <w:bookmarkEnd w:id="91"/>
    <w:bookmarkStart w:id="92" w:name="other-findings"/>
    <w:p>
      <w:pPr>
        <w:pStyle w:val="Heading2"/>
      </w:pPr>
      <w:r>
        <w:rPr>
          <w:rStyle w:val="SectionNumber"/>
        </w:rPr>
        <w:t xml:space="preserve">2.7</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92"/>
    <w:bookmarkEnd w:id="93"/>
    <w:bookmarkStart w:id="117"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Start w:id="95"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94"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94"/>
    <w:bookmarkEnd w:id="95"/>
    <w:bookmarkStart w:id="107" w:name="plotting-word-frequencies---bar-graphs"/>
    <w:p>
      <w:pPr>
        <w:pStyle w:val="Heading2"/>
      </w:pPr>
      <w:r>
        <w:rPr>
          <w:rStyle w:val="SectionNumber"/>
        </w:rPr>
        <w:t xml:space="preserve">3.2</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97" name="Picture"/>
            <a:graphic>
              <a:graphicData uri="http://schemas.openxmlformats.org/drawingml/2006/picture">
                <pic:pic>
                  <pic:nvPicPr>
                    <pic:cNvPr descr="_main_files/figure-docx/FREQ%20words%20bar%20graph-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100" name="Picture"/>
            <a:graphic>
              <a:graphicData uri="http://schemas.openxmlformats.org/drawingml/2006/picture">
                <pic:pic>
                  <pic:nvPicPr>
                    <pic:cNvPr descr="_main_files/figure-docx/unnamed-chunk-7-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102" w:name="normalised-frequency"/>
    <w:p>
      <w:pPr>
        <w:pStyle w:val="Heading3"/>
      </w:pPr>
      <w:r>
        <w:rPr>
          <w:rStyle w:val="SectionNumber"/>
        </w:rPr>
        <w:t xml:space="preserve">3.2.1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End w:id="102"/>
    <w:bookmarkStart w:id="106"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104" name="Picture"/>
            <a:graphic>
              <a:graphicData uri="http://schemas.openxmlformats.org/drawingml/2006/picture">
                <pic:pic>
                  <pic:nvPicPr>
                    <pic:cNvPr descr="_main_files/figure-docx/CEPEH%20MOST%20FREQ-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106"/>
    <w:bookmarkEnd w:id="107"/>
    <w:bookmarkStart w:id="115"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109" name="Picture"/>
            <a:graphic>
              <a:graphicData uri="http://schemas.openxmlformats.org/drawingml/2006/picture">
                <pic:pic>
                  <pic:nvPicPr>
                    <pic:cNvPr descr="_main_files/figure-docx/unnamed-chunk-9-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14"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p>
    <w:p>
      <w:pPr>
        <w:pStyle w:val="BodyText"/>
      </w:pPr>
      <w:r>
        <w:drawing>
          <wp:inline>
            <wp:extent cx="4620126" cy="3696101"/>
            <wp:effectExtent b="0" l="0" r="0" t="0"/>
            <wp:docPr descr="" title="" id="112" name="Picture"/>
            <a:graphic>
              <a:graphicData uri="http://schemas.openxmlformats.org/drawingml/2006/picture">
                <pic:pic>
                  <pic:nvPicPr>
                    <pic:cNvPr descr="_main_files/figure-docx/unnamed-chunk-11-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End w:id="115"/>
    <w:bookmarkStart w:id="116"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16"/>
    <w:bookmarkEnd w:id="117"/>
    <w:bookmarkStart w:id="125"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Start w:id="121" w:name="quantatative-results"/>
    <w:p>
      <w:pPr>
        <w:pStyle w:val="Heading2"/>
      </w:pPr>
      <w:r>
        <w:rPr>
          <w:rStyle w:val="SectionNumber"/>
        </w:rPr>
        <w:t xml:space="preserve">4.1</w:t>
      </w:r>
      <w:r>
        <w:tab/>
      </w:r>
      <w:r>
        <w:t xml:space="preserve">Quantatative Results</w:t>
      </w:r>
    </w:p>
    <w:bookmarkStart w:id="120" w:name="cuq"/>
    <w:p>
      <w:pPr>
        <w:pStyle w:val="Heading3"/>
      </w:pPr>
      <w:r>
        <w:rPr>
          <w:rStyle w:val="SectionNumber"/>
        </w:rPr>
        <w:t xml:space="preserve">4.1.1</w:t>
      </w:r>
      <w:r>
        <w:tab/>
      </w:r>
      <w:r>
        <w:t xml:space="preserve">CUQ</w:t>
      </w:r>
    </w:p>
    <w:p>
      <w:pPr>
        <w:pStyle w:val="FirstParagraph"/>
      </w:pPr>
      <w:r>
        <w:t xml:space="preserve">Holmes et al. [</w:t>
      </w:r>
      <w:hyperlink r:id="rId118">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 A score of 68 is at the centre of the range is thought of as</w:t>
      </w:r>
      <w:r>
        <w:t xml:space="preserve"> </w:t>
      </w:r>
      <w:r>
        <w:t xml:space="preserve">“</w:t>
      </w:r>
      <w:r>
        <w:t xml:space="preserve">C</w:t>
      </w:r>
      <w:r>
        <w:t xml:space="preserve">”</w:t>
      </w:r>
      <w:r>
        <w:t xml:space="preserve">. 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 For</w:t>
      </w:r>
      <w:r>
        <w:t xml:space="preserve"> </w:t>
      </w:r>
      <w:r>
        <w:t xml:space="preserve">example, in 2022</w:t>
      </w:r>
      <w:r>
        <w:t xml:space="preserve"> </w:t>
      </w:r>
      <w:hyperlink r:id="rId119">
        <w:r>
          <w:rPr>
            <w:rStyle w:val="Hyperlink"/>
          </w:rPr>
          <w:t xml:space="preserve">Link</w:t>
        </w:r>
      </w:hyperlink>
      <w:r>
        <w:t xml:space="preserve"> </w:t>
      </w:r>
      <w:r>
        <w:t xml:space="preserve">found a</w:t>
      </w:r>
      <w:r>
        <w:t xml:space="preserve"> </w:t>
      </w:r>
      <w:r>
        <w:t xml:space="preserve">physical activity promotion chatbot received 64.5/100, with lowest score</w:t>
      </w:r>
      <w:r>
        <w:t xml:space="preserve"> </w:t>
      </w:r>
      <w:r>
        <w:t xml:space="preserve">at 40.6</w:t>
      </w:r>
    </w:p>
    <w:bookmarkEnd w:id="120"/>
    <w:bookmarkEnd w:id="121"/>
    <w:bookmarkStart w:id="122" w:name="qualatative-results"/>
    <w:p>
      <w:pPr>
        <w:pStyle w:val="Heading2"/>
      </w:pPr>
      <w:r>
        <w:rPr>
          <w:rStyle w:val="SectionNumber"/>
        </w:rPr>
        <w:t xml:space="preserve">4.2</w:t>
      </w:r>
      <w:r>
        <w:tab/>
      </w:r>
      <w:r>
        <w:t xml:space="preserve">Qualatative Results</w:t>
      </w:r>
    </w:p>
    <w:bookmarkEnd w:id="122"/>
    <w:bookmarkStart w:id="123" w:name="limitations"/>
    <w:p>
      <w:pPr>
        <w:pStyle w:val="Heading2"/>
      </w:pPr>
      <w:r>
        <w:rPr>
          <w:rStyle w:val="SectionNumber"/>
        </w:rPr>
        <w:t xml:space="preserve">4.3</w:t>
      </w:r>
      <w:r>
        <w:tab/>
      </w:r>
      <w:r>
        <w:t xml:space="preserve">Limitations</w:t>
      </w:r>
    </w:p>
    <w:bookmarkEnd w:id="123"/>
    <w:bookmarkStart w:id="124"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24"/>
    <w:bookmarkEnd w:id="125"/>
    <w:bookmarkStart w:id="129" w:name="cites-and-refs"/>
    <w:p>
      <w:pPr>
        <w:pStyle w:val="Heading1"/>
      </w:pPr>
      <w:r>
        <w:rPr>
          <w:rStyle w:val="SectionNumber"/>
        </w:rPr>
        <w:t xml:space="preserve">5</w:t>
      </w:r>
      <w:r>
        <w:tab/>
      </w:r>
      <w:r>
        <w:t xml:space="preserve">(Additional Analyses) Training Events</w:t>
      </w:r>
    </w:p>
    <w:p>
      <w:pPr>
        <w:pStyle w:val="FirstParagraph"/>
      </w:pPr>
    </w:p>
    <w:bookmarkStart w:id="126"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26"/>
    <w:bookmarkStart w:id="127"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27"/>
    <w:bookmarkStart w:id="128"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28"/>
    <w:bookmarkEnd w:id="129"/>
    <w:bookmarkStart w:id="130" w:name="appendix"/>
    <w:p>
      <w:pPr>
        <w:pStyle w:val="Heading1"/>
      </w:pPr>
      <w:r>
        <w:t xml:space="preserve">Appendix</w:t>
      </w:r>
    </w:p>
    <w:bookmarkEnd w:id="130"/>
    <w:bookmarkStart w:id="131" w:name="appendix-appendix"/>
    <w:p>
      <w:pPr>
        <w:pStyle w:val="Heading1"/>
      </w:pPr>
      <w:r>
        <w:t xml:space="preserve">(APPENDIX) Appendix</w:t>
      </w:r>
    </w:p>
    <w:bookmarkEnd w:id="131"/>
    <w:bookmarkStart w:id="132"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32"/>
    <w:bookmarkStart w:id="134" w:name="references"/>
    <w:p>
      <w:pPr>
        <w:pStyle w:val="Heading1"/>
      </w:pPr>
      <w:r>
        <w:t xml:space="preserve">References</w:t>
      </w:r>
    </w:p>
    <w:bookmarkStart w:id="133" w:name="refs"/>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79" Target="media/rId79.png" /><Relationship Type="http://schemas.openxmlformats.org/officeDocument/2006/relationships/image" Id="rId38" Target="media/rId38.png" /><Relationship Type="http://schemas.openxmlformats.org/officeDocument/2006/relationships/image" Id="rId87" Target="media/rId87.png" /><Relationship Type="http://schemas.openxmlformats.org/officeDocument/2006/relationships/image" Id="rId84" Target="media/rId84.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103" Target="media/rId103.png" /><Relationship Type="http://schemas.openxmlformats.org/officeDocument/2006/relationships/image" Id="rId51" Target="media/rId51.png" /><Relationship Type="http://schemas.openxmlformats.org/officeDocument/2006/relationships/image" Id="rId96" Target="media/rId96.png" /><Relationship Type="http://schemas.openxmlformats.org/officeDocument/2006/relationships/image" Id="rId22" Target="media/rId22.png" /><Relationship Type="http://schemas.openxmlformats.org/officeDocument/2006/relationships/image" Id="rId111" Target="media/rId111.png" /><Relationship Type="http://schemas.openxmlformats.org/officeDocument/2006/relationships/image" Id="rId99" Target="media/rId99.png" /><Relationship Type="http://schemas.openxmlformats.org/officeDocument/2006/relationships/image" Id="rId108" Target="media/rId108.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32" Target="media/rId32.png" /><Relationship Type="http://schemas.openxmlformats.org/officeDocument/2006/relationships/hyperlink" Id="rId46" Target="CUQ-Calculation-Tool.xlsx" TargetMode="External" /><Relationship Type="http://schemas.openxmlformats.org/officeDocument/2006/relationships/hyperlink" Id="rId119" Target="a%3C%20href=" TargetMode="External" /><Relationship Type="http://schemas.openxmlformats.org/officeDocument/2006/relationships/hyperlink" Id="rId47" Target="cuq.png" TargetMode="External" /><Relationship Type="http://schemas.openxmlformats.org/officeDocument/2006/relationships/hyperlink" Id="rId118" Target="https://dl.acm.org/doi/10.1145/3335082.3335094" TargetMode="External" /><Relationship Type="http://schemas.openxmlformats.org/officeDocument/2006/relationships/hyperlink" Id="rId45"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46" Target="CUQ-Calculation-Tool.xlsx" TargetMode="External" /><Relationship Type="http://schemas.openxmlformats.org/officeDocument/2006/relationships/hyperlink" Id="rId119" Target="a%3C%20href=" TargetMode="External" /><Relationship Type="http://schemas.openxmlformats.org/officeDocument/2006/relationships/hyperlink" Id="rId47" Target="cuq.png" TargetMode="External" /><Relationship Type="http://schemas.openxmlformats.org/officeDocument/2006/relationships/hyperlink" Id="rId118" Target="https://dl.acm.org/doi/10.1145/3335082.3335094" TargetMode="External" /><Relationship Type="http://schemas.openxmlformats.org/officeDocument/2006/relationships/hyperlink" Id="rId45"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2022-12-29T22:59:32Z</dcterms:created>
  <dcterms:modified xsi:type="dcterms:W3CDTF">2022-12-29T22:59:32Z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Union.Thanks to Mohammed Roshan for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