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77.png" ContentType="image/png"/>
  <Override PartName="/word/media/rId39.png" ContentType="image/png"/>
  <Override PartName="/word/media/rId48.png" ContentType="image/png"/>
  <Override PartName="/word/media/rId45.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92.png" ContentType="image/png"/>
  <Override PartName="/word/media/rId86.png" ContentType="image/png"/>
  <Override PartName="/word/media/rId22.png" ContentType="image/png"/>
  <Override PartName="/word/media/rId98.png" ContentType="image/png"/>
  <Override PartName="/word/media/rId101.png" ContentType="image/png"/>
  <Override PartName="/word/media/rId89.png" ContentType="image/png"/>
  <Override PartName="/word/media/rId5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107" w:name="rmd-basics"/>
    <w:p>
      <w:pPr>
        <w:pStyle w:val="Heading1"/>
      </w:pPr>
      <w:r>
        <w:rPr>
          <w:rStyle w:val="SectionNumber"/>
        </w:rPr>
        <w:t xml:space="preserve">2</w:t>
      </w:r>
      <w:r>
        <w:tab/>
      </w:r>
      <w:r>
        <w:t xml:space="preserve">Results</w:t>
      </w:r>
    </w:p>
    <w:p>
      <w:pPr>
        <w:pStyle w:val="FirstParagraph"/>
      </w:pPr>
    </w:p>
    <w:p>
      <w:pPr>
        <w:pStyle w:val="BodyText"/>
      </w:pPr>
    </w:p>
    <w:bookmarkStart w:id="54" w:name="learner-characteristics"/>
    <w:p>
      <w:pPr>
        <w:pStyle w:val="Heading2"/>
      </w:pPr>
      <w:r>
        <w:rPr>
          <w:rStyle w:val="SectionNumber"/>
        </w:rPr>
        <w:t xml:space="preserve">2.1</w:t>
      </w:r>
      <w:r>
        <w:tab/>
      </w:r>
      <w:r>
        <w:t xml:space="preserve">Learner Characteristics</w:t>
      </w:r>
    </w:p>
    <w:p>
      <w:pPr>
        <w:pStyle w:val="FirstParagraph"/>
      </w:pPr>
      <w:r>
        <w:t xml:space="preserve">When asked the amount of time participants have used a chatbot- in any form or subject: 23 stated they had never used a chatbot, educational or not. Further, 18/42 having used a chatbot at least once for between 0-4 hours of use in total. Two individuals had spent much longer time with usage- these were a learning technologist associated with the CEPEH team, and a mature student.</w:t>
      </w:r>
      <w:r>
        <w:t xml:space="preserve"> </w:t>
      </w:r>
      <w:r>
        <w:t xml:space="preserve">In short, this sample of participants did not regularly use chatbots for their course learning, but 1/3 had used one in some form previously.</w:t>
      </w:r>
    </w:p>
    <w:p>
      <w:pPr>
        <w:pStyle w:val="BodyText"/>
      </w:pPr>
      <w:r>
        <w:t xml:space="preserve">Most learners use books or online books as resources. They may use multiple sources however they were asked to note</w:t>
      </w:r>
      <w:r>
        <w:t xml:space="preserve"> </w:t>
      </w:r>
      <w:r>
        <w:t xml:space="preserve">the primary source. Only 6 stated their primary sources were</w:t>
      </w:r>
      <w:r>
        <w:t xml:space="preserve"> </w:t>
      </w:r>
      <w:r>
        <w:rPr>
          <w:iCs/>
          <w:i/>
        </w:rPr>
        <w:t xml:space="preserve">Online videos/interactive materials</w:t>
      </w:r>
      <w:r>
        <w:t xml:space="preserve"> </w:t>
      </w:r>
      <w:r>
        <w:t xml:space="preserve">which includes</w:t>
      </w:r>
      <w:r>
        <w:t xml:space="preserve"> </w:t>
      </w:r>
      <w:r>
        <w:t xml:space="preserve">such tools as chatbots.</w:t>
      </w:r>
    </w:p>
    <w:p>
      <w:pPr>
        <w:pStyle w:val="BodyText"/>
      </w:pPr>
      <w:r>
        <w:t xml:space="preserve">The first boxplot (</w:t>
      </w:r>
      <w:r>
        <w:t xml:space="preserve">2.1</w:t>
      </w:r>
      <w:r>
        <w:t xml:space="preserve">) shows learners perceptions of easy of use of mobile app and other educational mobile resources</w:t>
      </w:r>
    </w:p>
    <w:p>
      <w:pPr>
        <w:pStyle w:val="CaptionedFigure"/>
      </w:pPr>
      <w:r>
        <w:drawing>
          <wp:inline>
            <wp:extent cx="4620126" cy="3696101"/>
            <wp:effectExtent b="0" l="0" r="0" t="0"/>
            <wp:docPr descr="Figure 2.1: Usage Frequency-Pre"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Usage Frequency-Pre</w:t>
      </w:r>
    </w:p>
    <w:p>
      <w:pPr>
        <w:pStyle w:val="CaptionedFigure"/>
      </w:pPr>
      <w:r>
        <w:drawing>
          <wp:inline>
            <wp:extent cx="4620126" cy="3696101"/>
            <wp:effectExtent b="0" l="0" r="0" t="0"/>
            <wp:docPr descr="Figure 2.2: Useful Opinion-Pre" title="" id="43" name="Picture"/>
            <a:graphic>
              <a:graphicData uri="http://schemas.openxmlformats.org/drawingml/2006/picture">
                <pic:pic>
                  <pic:nvPicPr>
                    <pic:cNvPr descr="_main_files/figure-docx/BoxplotUsefulPr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Useful Opinion-Pre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/n</w:t>
      </w:r>
      <w:r>
        <w:t xml:space="preserve"> </w:t>
      </w:r>
      <w:r>
        <w:t xml:space="preserve">i</w:t>
      </w:r>
      <w:r>
        <w:t xml:space="preserve"> </w:t>
      </w:r>
      <w:r>
        <w:t xml:space="preserve">i</w:t>
      </w:r>
      <w:r>
        <w:t xml:space="preserve"> </w:t>
      </w:r>
      <w:r>
        <w:t xml:space="preserve">i</w:t>
      </w:r>
      <w:r>
        <w:t xml:space="preserve"> </w:t>
      </w:r>
      <w:r>
        <w:t xml:space="preserve">i</w:t>
      </w:r>
      <w:r>
        <w:t xml:space="preserve"> </w:t>
      </w:r>
      <w:r>
        <w:t xml:space="preserve">i</w:t>
      </w:r>
      <w:r>
        <w:t xml:space="preserve"> </w:t>
      </w:r>
      <w:r>
        <w:t xml:space="preserve">i</w:t>
      </w:r>
      <w:r>
        <w:t xml:space="preserve"> </w:t>
      </w:r>
      <w:r>
        <w:t xml:space="preserve">i</w:t>
      </w:r>
      <w:r>
        <w:t xml:space="preserve"> </w:t>
      </w:r>
      <w:r>
        <w:t xml:space="preserve">i</w:t>
      </w:r>
    </w:p>
    <w:p>
      <w:r>
        <w:pict>
          <v:rect style="width:0;height:1.5pt" o:hralign="center" o:hrstd="t" o:hr="t"/>
        </w:pict>
      </w:r>
    </w:p>
    <w:p>
      <w:pPr>
        <w:pStyle w:val="FirstParagraph"/>
      </w:pPr>
      <w:r>
        <w:t xml:space="preserve">##Post-Intervention Results and Comparision</w:t>
      </w:r>
    </w:p>
    <w:p>
      <w:pPr>
        <w:pStyle w:val="BodyText"/>
      </w:pPr>
      <w:r>
        <w:t xml:space="preserve">After using the CEPEH chatbots, majority of participants stated they 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 neutral in reuse, which was approximately 4 participants per chatbot (see (</w:t>
      </w:r>
      <w:r>
        <w:t xml:space="preserve">2.3</w:t>
      </w:r>
      <w:r>
        <w:t xml:space="preserve">).</w:t>
      </w:r>
    </w:p>
    <w:p>
      <w:pPr>
        <w:pStyle w:val="CaptionedFigure"/>
      </w:pPr>
      <w:r>
        <w:drawing>
          <wp:inline>
            <wp:extent cx="4620126" cy="3696101"/>
            <wp:effectExtent b="0" l="0" r="0" t="0"/>
            <wp:docPr descr="Figure 2.3: Intend to Reuse-Post" title="" id="46" name="Picture"/>
            <a:graphic>
              <a:graphicData uri="http://schemas.openxmlformats.org/drawingml/2006/picture">
                <pic:pic>
                  <pic:nvPicPr>
                    <pic:cNvPr descr="_main_files/figure-docx/Boxplotsplits4-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2.3: Intend to Reuse-Post</w:t>
      </w:r>
    </w:p>
    <w:p>
      <w:pPr>
        <w:pStyle w:val="BodyText"/>
      </w:pPr>
      <w:r>
        <w:t xml:space="preserve">For CYENS, even though the knowledge of the topic was not perceived to improve by some participants, this box plot shows how 34/42 stated they would reuse the chatbot developed by CYENS.</w:t>
      </w:r>
    </w:p>
    <w:p>
      <w:pPr>
        <w:pStyle w:val="BodyText"/>
      </w:pPr>
      <w:r>
        <w:drawing>
          <wp:inline>
            <wp:extent cx="4620126" cy="3696101"/>
            <wp:effectExtent b="0" l="0" r="0" t="0"/>
            <wp:docPr descr="Figure 2.4: Easy to Use- Post" title="" id="49" name="Picture"/>
            <a:graphic>
              <a:graphicData uri="http://schemas.openxmlformats.org/drawingml/2006/picture">
                <pic:pic>
                  <pic:nvPicPr>
                    <pic:cNvPr descr="_main_files/figure-docx/Boxplotsplits3-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only 1</w:t>
      </w:r>
      <w:r>
        <w:t xml:space="preserve"> </w:t>
      </w:r>
      <w:r>
        <w:t xml:space="preserve">‘</w:t>
      </w:r>
      <w:r>
        <w:t xml:space="preserve">Strongly Disagree</w:t>
      </w:r>
      <w:r>
        <w:t xml:space="preserve">’</w:t>
      </w:r>
      <w:r>
        <w:t xml:space="preserve"> </w:t>
      </w:r>
      <w:r>
        <w:t xml:space="preserve">response.</w:t>
      </w:r>
      <w:r>
        <w:t xml:space="preserve"> </w:t>
      </w:r>
      <w:r>
        <w:t xml:space="preserve">The agreement options counted for the majority of the data.</w:t>
      </w:r>
    </w:p>
    <w:bookmarkStart w:id="51" w:name="other-findings"/>
    <w:p>
      <w:pPr>
        <w:pStyle w:val="Heading3"/>
      </w:pPr>
      <w:r>
        <w:rPr>
          <w:rStyle w:val="SectionNumber"/>
        </w:rPr>
        <w:t xml:space="preserve">2.1.1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 Chatbot</w:t>
      </w:r>
    </w:p>
    <w:p>
      <w:pPr>
        <w:pStyle w:val="BodyText"/>
      </w:pPr>
      <w:r>
        <w:t xml:space="preserve">The chatbot provided me with the type of response i expected from asking 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 measurements)</w:t>
      </w:r>
    </w:p>
    <w:p>
      <w:pPr>
        <w:pStyle w:val="BodyText"/>
      </w:pPr>
      <w:r>
        <w:t xml:space="preserve">This t-test compares confident using mobile chatbots before and after CEPEH chatbot usage.</w:t>
      </w:r>
    </w:p>
    <w:bookmarkEnd w:id="51"/>
    <w:bookmarkStart w:id="52" w:name="system-usability-scale-sus-scores"/>
    <w:p>
      <w:pPr>
        <w:pStyle w:val="Heading3"/>
      </w:pPr>
      <w:r>
        <w:rPr>
          <w:rStyle w:val="SectionNumber"/>
        </w:rPr>
        <w:t xml:space="preserve">2.1.2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1"/>
        </w:numPr>
        <w:pStyle w:val="Compact"/>
      </w:pPr>
      <w:r>
        <w:t xml:space="preserve">I would like to use the CEPEH chatbot I tested, more frequently</w:t>
      </w:r>
      <w:r>
        <w:t xml:space="preserve"> </w:t>
      </w:r>
      <w:r>
        <w:t xml:space="preserve">(SUS1)(post)</w:t>
      </w:r>
    </w:p>
    <w:p>
      <w:pPr>
        <w:numPr>
          <w:ilvl w:val="0"/>
          <w:numId w:val="1001"/>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52"/>
    <w:bookmarkStart w:id="53" w:name="technology-acceptance-model"/>
    <w:p>
      <w:pPr>
        <w:pStyle w:val="Heading3"/>
      </w:pPr>
      <w:r>
        <w:rPr>
          <w:rStyle w:val="SectionNumber"/>
        </w:rPr>
        <w:t xml:space="preserve">2.1.3</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End w:id="53"/>
    <w:bookmarkEnd w:id="54"/>
    <w:bookmarkStart w:id="81" w:name="chatbot-usabilty-questionanire-cuq"/>
    <w:p>
      <w:pPr>
        <w:pStyle w:val="Heading2"/>
      </w:pPr>
      <w:r>
        <w:rPr>
          <w:rStyle w:val="SectionNumber"/>
        </w:rPr>
        <w:t xml:space="preserve">2.2</w:t>
      </w:r>
      <w:r>
        <w:tab/>
      </w:r>
      <w:r>
        <w:t xml:space="preserve">Chatbot Usabilty Questionanire (CUQ)</w:t>
      </w:r>
    </w:p>
    <w:bookmarkStart w:id="80" w:name="cuq-calcuation-tool"/>
    <w:p>
      <w:pPr>
        <w:pStyle w:val="Heading3"/>
      </w:pPr>
      <w:r>
        <w:rPr>
          <w:rStyle w:val="SectionNumber"/>
        </w:rPr>
        <w:t xml:space="preserve">2.2.1</w:t>
      </w:r>
      <w:r>
        <w:tab/>
      </w:r>
      <w:r>
        <w:t xml:space="preserve">CUQ Calcuation tool</w:t>
      </w:r>
    </w:p>
    <w:p>
      <w:pPr>
        <w:pStyle w:val="FirstParagraph"/>
      </w:pPr>
      <w:r>
        <w:t xml:space="preserve">The CUQ was developed by researchers at Ulster University,</w:t>
      </w:r>
      <w:hyperlink r:id="rId55">
        <w:r>
          <w:rPr>
            <w:rStyle w:val="Hyperlink"/>
          </w:rPr>
          <w:t xml:space="preserve">Link</w:t>
        </w:r>
      </w:hyperlink>
      <w:r>
        <w:t xml:space="preserve"> </w:t>
      </w:r>
      <w:r>
        <w:t xml:space="preserve">and as the calculation can be complex a dedicated calculation tool has been created.</w:t>
      </w:r>
      <w:r>
        <w:t xml:space="preserve"> </w:t>
      </w:r>
      <w:r>
        <w:t xml:space="preserve">Please download the CEPEH CUQ calculation tool which has all of the data entered, so you can see the CEPEH CUQ scoring.</w:t>
      </w:r>
    </w:p>
    <w:p>
      <w:pPr>
        <w:pStyle w:val="BodyText"/>
      </w:pPr>
      <w:hyperlink r:id="rId56">
        <w:r>
          <w:rPr>
            <w:rStyle w:val="Hyperlink"/>
          </w:rPr>
          <w:t xml:space="preserve">click here to download CUQ calc tool</w:t>
        </w:r>
      </w:hyperlink>
    </w:p>
    <w:p>
      <w:pPr>
        <w:pStyle w:val="BodyText"/>
      </w:pPr>
      <w:hyperlink r:id="rId57">
        <w:r>
          <w:rPr>
            <w:rStyle w:val="Hyperlink"/>
          </w:rPr>
          <w:t xml:space="preserve">click here to download CUQ score image</w:t>
        </w:r>
      </w:hyperlink>
      <w:r>
        <w:t xml:space="preserve"> </w:t>
      </w:r>
      <w:r>
        <w:t xml:space="preserve">*mobile download disabled</w:t>
      </w:r>
    </w:p>
    <w:p>
      <w:pPr>
        <w:pStyle w:val="CaptionedFigure"/>
      </w:pPr>
      <w:r>
        <w:drawing>
          <wp:inline>
            <wp:extent cx="5334000" cy="4532599"/>
            <wp:effectExtent b="0" l="0" r="0" t="0"/>
            <wp:docPr descr="(#fig:cuq image)A marvel-lous meme" title="" id="59" name="Picture"/>
            <a:graphic>
              <a:graphicData uri="http://schemas.openxmlformats.org/drawingml/2006/picture">
                <pic:pic>
                  <pic:nvPicPr>
                    <pic:cNvPr descr="cuq.png" id="60" name="Picture"/>
                    <pic:cNvPicPr>
                      <a:picLocks noChangeArrowheads="1" noChangeAspect="1"/>
                    </pic:cNvPicPr>
                  </pic:nvPicPr>
                  <pic:blipFill>
                    <a:blip r:embed="rId58"/>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61">
        <w:r>
          <w:rPr>
            <w:rStyle w:val="Hyperlink"/>
          </w:rPr>
          <w:t xml:space="preserve">Read the CUQ development paper, see page 3 for correlation</w:t>
        </w:r>
      </w:hyperlink>
    </w:p>
    <w:p>
      <w:pPr>
        <w:pStyle w:val="BodyText"/>
      </w:pPr>
      <w:r>
        <w:t xml:space="preserve">Figure shows the CUQ scores as a box plot to highlight the range of Usability of the resources. Further exploration is required to understand which elements are causing this spread.</w:t>
      </w:r>
    </w:p>
    <w:p>
      <w:pPr>
        <w:pStyle w:val="BodyText"/>
      </w:pPr>
      <w:r>
        <w:drawing>
          <wp:inline>
            <wp:extent cx="4620126" cy="3696101"/>
            <wp:effectExtent b="0" l="0" r="0" t="0"/>
            <wp:docPr descr="" title="" id="63" name="Picture"/>
            <a:graphic>
              <a:graphicData uri="http://schemas.openxmlformats.org/drawingml/2006/picture">
                <pic:pic>
                  <pic:nvPicPr>
                    <pic:cNvPr descr="_main_files/figure-docx/Boxplotsplits5-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CYENS chatbot had around 10 more participants stating that they were neutral on gaining knowledge of the topic</w:t>
      </w:r>
    </w:p>
    <w:p>
      <w:pPr>
        <w:pStyle w:val="BodyText"/>
      </w:pPr>
      <w:r>
        <w:drawing>
          <wp:inline>
            <wp:extent cx="4620126" cy="3696101"/>
            <wp:effectExtent b="0" l="0" r="0" t="0"/>
            <wp:docPr descr="" title="" id="66" name="Picture"/>
            <a:graphic>
              <a:graphicData uri="http://schemas.openxmlformats.org/drawingml/2006/picture">
                <pic:pic>
                  <pic:nvPicPr>
                    <pic:cNvPr descr="_main_files/figure-docx/Boxplotsplits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9" name="Picture"/>
            <a:graphic>
              <a:graphicData uri="http://schemas.openxmlformats.org/drawingml/2006/picture">
                <pic:pic>
                  <pic:nvPicPr>
                    <pic:cNvPr descr="_main_files/figure-docx/Boxplotsplits7-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interactions(See Figure 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p>
      <w:pPr>
        <w:pStyle w:val="BodyText"/>
      </w:pPr>
      <w:r>
        <w:drawing>
          <wp:inline>
            <wp:extent cx="4620126" cy="3696101"/>
            <wp:effectExtent b="0" l="0" r="0" t="0"/>
            <wp:docPr descr="" title="" id="72" name="Picture"/>
            <a:graphic>
              <a:graphicData uri="http://schemas.openxmlformats.org/drawingml/2006/picture">
                <pic:pic>
                  <pic:nvPicPr>
                    <pic:cNvPr descr="_main_files/figure-docx/Boxplotsplits8-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5" name="Picture"/>
            <a:graphic>
              <a:graphicData uri="http://schemas.openxmlformats.org/drawingml/2006/picture">
                <pic:pic>
                  <pic:nvPicPr>
                    <pic:cNvPr descr="_main_files/figure-docx/Boxplotsplits9-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8" name="Picture"/>
            <a:graphic>
              <a:graphicData uri="http://schemas.openxmlformats.org/drawingml/2006/picture">
                <pic:pic>
                  <pic:nvPicPr>
                    <pic:cNvPr descr="_main_files/figure-docx/Boxplotsplits10-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Those who disagreed or were neutral in the pre usage measure, improved their understanding that help was available</w:t>
      </w:r>
      <w:r>
        <w:t xml:space="preserve"> </w:t>
      </w:r>
      <w:r>
        <w:t xml:space="preserve">with the CEPEH chatbots. After usage, 40 participants agreed they could get help if they had difficulty using the</w:t>
      </w:r>
      <w:r>
        <w:t xml:space="preserve"> </w:t>
      </w:r>
      <w:r>
        <w:t xml:space="preserve">resources.</w:t>
      </w:r>
    </w:p>
    <w:p>
      <w:r>
        <w:pict>
          <v:rect style="width:0;height:1.5pt" o:hralign="center" o:hrstd="t" o:hr="t"/>
        </w:pict>
      </w:r>
    </w:p>
    <w:bookmarkEnd w:id="80"/>
    <w:bookmarkEnd w:id="81"/>
    <w:bookmarkStart w:id="82" w:name="inferential-statistics"/>
    <w:p>
      <w:pPr>
        <w:pStyle w:val="Heading2"/>
      </w:pPr>
      <w:r>
        <w:rPr>
          <w:rStyle w:val="SectionNumber"/>
        </w:rPr>
        <w:t xml:space="preserve">2.3</w:t>
      </w:r>
      <w:r>
        <w:tab/>
      </w:r>
      <w:r>
        <w:t xml:space="preserve">Inferential Statistics</w:t>
      </w:r>
    </w:p>
    <w:bookmarkEnd w:id="82"/>
    <w:bookmarkStart w:id="83" w:name="cepeh-qualatative-feedback"/>
    <w:p>
      <w:pPr>
        <w:pStyle w:val="Heading2"/>
      </w:pPr>
      <w:r>
        <w:rPr>
          <w:rStyle w:val="SectionNumber"/>
        </w:rPr>
        <w:t xml:space="preserve">2.4</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End w:id="83"/>
    <w:bookmarkStart w:id="85" w:name="tokenising"/>
    <w:p>
      <w:pPr>
        <w:pStyle w:val="Heading2"/>
      </w:pPr>
      <w:r>
        <w:rPr>
          <w:rStyle w:val="SectionNumber"/>
        </w:rPr>
        <w:t xml:space="preserve">2.5</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84" w:name="stop-words"/>
    <w:p>
      <w:pPr>
        <w:pStyle w:val="Heading3"/>
      </w:pPr>
      <w:r>
        <w:rPr>
          <w:rStyle w:val="SectionNumber"/>
        </w:rPr>
        <w:t xml:space="preserve">2.5.1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84"/>
    <w:bookmarkEnd w:id="85"/>
    <w:bookmarkStart w:id="97" w:name="plotting-word-frequencies---bar-graphs"/>
    <w:p>
      <w:pPr>
        <w:pStyle w:val="Heading2"/>
      </w:pPr>
      <w:r>
        <w:rPr>
          <w:rStyle w:val="SectionNumber"/>
        </w:rPr>
        <w:t xml:space="preserve">2.6</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7" name="Picture"/>
            <a:graphic>
              <a:graphicData uri="http://schemas.openxmlformats.org/drawingml/2006/picture">
                <pic:pic>
                  <pic:nvPicPr>
                    <pic:cNvPr descr="_main_files/figure-docx/FREQ%20words%20bar%20graph-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90" name="Picture"/>
            <a:graphic>
              <a:graphicData uri="http://schemas.openxmlformats.org/drawingml/2006/picture">
                <pic:pic>
                  <pic:nvPicPr>
                    <pic:cNvPr descr="_main_files/figure-docx/unnamed-chunk-8-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96" w:name="normalised-frequency"/>
    <w:p>
      <w:pPr>
        <w:pStyle w:val="Heading3"/>
      </w:pPr>
      <w:r>
        <w:rPr>
          <w:rStyle w:val="SectionNumber"/>
        </w:rPr>
        <w:t xml:space="preserve">2.6.1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Start w:id="95" w:name="plotting-normalised-frequency"/>
    <w:p>
      <w:pPr>
        <w:pStyle w:val="Heading4"/>
      </w:pPr>
      <w:r>
        <w:rPr>
          <w:rStyle w:val="SectionNumber"/>
        </w:rPr>
        <w:t xml:space="preserve">2.6.1.1</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3" name="Picture"/>
            <a:graphic>
              <a:graphicData uri="http://schemas.openxmlformats.org/drawingml/2006/picture">
                <pic:pic>
                  <pic:nvPicPr>
                    <pic:cNvPr descr="_main_files/figure-docx/CEPEH%20MOST%20FREQ-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5"/>
    <w:bookmarkEnd w:id="96"/>
    <w:bookmarkEnd w:id="97"/>
    <w:bookmarkStart w:id="105" w:name="word-clouds"/>
    <w:p>
      <w:pPr>
        <w:pStyle w:val="Heading2"/>
      </w:pPr>
      <w:r>
        <w:rPr>
          <w:rStyle w:val="SectionNumber"/>
        </w:rPr>
        <w:t xml:space="preserve">2.7</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9" name="Picture"/>
            <a:graphic>
              <a:graphicData uri="http://schemas.openxmlformats.org/drawingml/2006/picture">
                <pic:pic>
                  <pic:nvPicPr>
                    <pic:cNvPr descr="_main_files/figure-docx/unnamed-chunk-10-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04" w:name="the-vocabulary-of-texts"/>
    <w:p>
      <w:pPr>
        <w:pStyle w:val="Heading3"/>
      </w:pPr>
      <w:r>
        <w:rPr>
          <w:rStyle w:val="SectionNumber"/>
        </w:rPr>
        <w:t xml:space="preserve">2.7.1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02" name="Picture"/>
            <a:graphic>
              <a:graphicData uri="http://schemas.openxmlformats.org/drawingml/2006/picture">
                <pic:pic>
                  <pic:nvPicPr>
                    <pic:cNvPr descr="_main_files/figure-docx/unnamed-chunk-12-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bookmarkEnd w:id="104"/>
    <w:bookmarkEnd w:id="105"/>
    <w:bookmarkStart w:id="106" w:name="sentiment-analysis"/>
    <w:p>
      <w:pPr>
        <w:pStyle w:val="Heading2"/>
      </w:pPr>
      <w:r>
        <w:rPr>
          <w:rStyle w:val="SectionNumber"/>
        </w:rPr>
        <w:t xml:space="preserve">2.8</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6"/>
    <w:bookmarkEnd w:id="107"/>
    <w:bookmarkStart w:id="108" w:name="Discussion"/>
    <w:p>
      <w:pPr>
        <w:pStyle w:val="Heading1"/>
      </w:pPr>
      <w:r>
        <w:rPr>
          <w:rStyle w:val="SectionNumber"/>
        </w:rPr>
        <w:t xml:space="preserve">3</w:t>
      </w:r>
      <w:r>
        <w:tab/>
      </w:r>
      <w:r>
        <w:t xml:space="preserve">Discussion</w:t>
      </w:r>
    </w:p>
    <w:p>
      <w:pPr>
        <w:pStyle w:val="FirstParagraph"/>
      </w:pP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End w:id="108"/>
    <w:bookmarkStart w:id="110" w:name="cites-and-refs"/>
    <w:p>
      <w:pPr>
        <w:pStyle w:val="Heading1"/>
      </w:pPr>
      <w:r>
        <w:rPr>
          <w:rStyle w:val="SectionNumber"/>
        </w:rPr>
        <w:t xml:space="preserve">4</w:t>
      </w:r>
      <w:r>
        <w:tab/>
      </w:r>
      <w:r>
        <w:t xml:space="preserve">Training Event Results</w:t>
      </w:r>
    </w:p>
    <w:p>
      <w:pPr>
        <w:pStyle w:val="FirstParagraph"/>
      </w:pPr>
    </w:p>
    <w:bookmarkStart w:id="109" w:name="cepeh-training-event-c1"/>
    <w:p>
      <w:pPr>
        <w:pStyle w:val="Heading2"/>
      </w:pPr>
      <w:r>
        <w:rPr>
          <w:rStyle w:val="SectionNumber"/>
        </w:rPr>
        <w:t xml:space="preserve">4.1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109"/>
    <w:bookmarkEnd w:id="110"/>
    <w:bookmarkStart w:id="143" w:name="overall-training-events-evalaution"/>
    <w:p>
      <w:pPr>
        <w:pStyle w:val="Heading1"/>
      </w:pPr>
      <w:r>
        <w:rPr>
          <w:rStyle w:val="SectionNumber"/>
        </w:rPr>
        <w:t xml:space="preserve">5</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120" w:name="cepeh-training-event-2"/>
    <w:p>
      <w:pPr>
        <w:pStyle w:val="Heading2"/>
      </w:pPr>
      <w:r>
        <w:rPr>
          <w:rStyle w:val="SectionNumber"/>
        </w:rPr>
        <w:t xml:space="preserve">5.1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111"/>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113">
        <w:r>
          <w:rPr>
            <w:rStyle w:val="Hyperlink"/>
          </w:rPr>
          <w:t xml:space="preserve">Zotero</w:t>
        </w:r>
      </w:hyperlink>
      <w:r>
        <w:t xml:space="preserve"> </w:t>
      </w:r>
      <w:r>
        <w:t xml:space="preserve">with the</w:t>
      </w:r>
      <w:r>
        <w:t xml:space="preserve"> </w:t>
      </w:r>
      <w:hyperlink r:id="rId114">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117" w:name="citation-appearance"/>
    <w:p>
      <w:pPr>
        <w:pStyle w:val="Heading3"/>
      </w:pPr>
      <w:r>
        <w:rPr>
          <w:rStyle w:val="SectionNumber"/>
        </w:rPr>
        <w:t xml:space="preserve">5.1.1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15">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2"/>
        </w:numPr>
        <w:pStyle w:val="Compact"/>
      </w:pPr>
      <w:r>
        <w:t xml:space="preserve">Put author names outside the parenthesis</w:t>
      </w:r>
    </w:p>
    <w:p>
      <w:pPr>
        <w:numPr>
          <w:ilvl w:val="1"/>
          <w:numId w:val="1003"/>
        </w:numPr>
        <w:pStyle w:val="Compact"/>
      </w:pPr>
      <w:r>
        <w:t xml:space="preserve">This:</w:t>
      </w:r>
      <w:r>
        <w:t xml:space="preserve"> </w:t>
      </w:r>
      <w:r>
        <w:rPr>
          <w:rStyle w:val="VerbatimChar"/>
        </w:rPr>
        <w:t xml:space="preserve">@Shea2014 says blah.</w:t>
      </w:r>
    </w:p>
    <w:p>
      <w:pPr>
        <w:numPr>
          <w:ilvl w:val="1"/>
          <w:numId w:val="1003"/>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2"/>
        </w:numPr>
        <w:pStyle w:val="Compact"/>
      </w:pPr>
      <w:r>
        <w:t xml:space="preserve">Include only the citation-year (in parenthesis)</w:t>
      </w:r>
    </w:p>
    <w:p>
      <w:pPr>
        <w:numPr>
          <w:ilvl w:val="1"/>
          <w:numId w:val="1004"/>
        </w:numPr>
        <w:pStyle w:val="Compact"/>
      </w:pPr>
      <w:r>
        <w:t xml:space="preserve">This:</w:t>
      </w:r>
      <w:r>
        <w:t xml:space="preserve"> </w:t>
      </w:r>
      <w:r>
        <w:rPr>
          <w:rStyle w:val="VerbatimChar"/>
        </w:rPr>
        <w:t xml:space="preserve">Shea et al. says blah [-@Shea2014]</w:t>
      </w:r>
    </w:p>
    <w:p>
      <w:pPr>
        <w:numPr>
          <w:ilvl w:val="1"/>
          <w:numId w:val="1004"/>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2"/>
        </w:numPr>
        <w:pStyle w:val="Compact"/>
      </w:pPr>
      <w:r>
        <w:t xml:space="preserve">Add text and page or chapter references to the citation</w:t>
      </w:r>
    </w:p>
    <w:p>
      <w:pPr>
        <w:numPr>
          <w:ilvl w:val="1"/>
          <w:numId w:val="1005"/>
        </w:numPr>
        <w:pStyle w:val="Compact"/>
      </w:pPr>
      <w:r>
        <w:t xml:space="preserve">This:</w:t>
      </w:r>
      <w:r>
        <w:t xml:space="preserve"> </w:t>
      </w:r>
      <w:r>
        <w:rPr>
          <w:rStyle w:val="VerbatimChar"/>
        </w:rPr>
        <w:t xml:space="preserve">[see @Shea2014, pp. 33-35; also @Wu2016, ch. 1]</w:t>
      </w:r>
    </w:p>
    <w:p>
      <w:pPr>
        <w:numPr>
          <w:ilvl w:val="1"/>
          <w:numId w:val="1005"/>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16">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17"/>
    <w:bookmarkStart w:id="119" w:name="X6c5b3ddafdf9d3f8a197b666704f4ff23767ec4"/>
    <w:p>
      <w:pPr>
        <w:pStyle w:val="Heading3"/>
      </w:pPr>
      <w:r>
        <w:rPr>
          <w:rStyle w:val="SectionNumber"/>
        </w:rPr>
        <w:t xml:space="preserve">5.1.2</w:t>
      </w:r>
      <w:r>
        <w:tab/>
      </w:r>
      <w:r>
        <w:t xml:space="preserve">Insert references easily with RStudio’s Visual Editor</w:t>
      </w:r>
    </w:p>
    <w:p>
      <w:pPr>
        <w:pStyle w:val="FirstParagraph"/>
      </w:pPr>
      <w:r>
        <w:t xml:space="preserve">For an easy way to insert citations, use RStudio’s</w:t>
      </w:r>
      <w:r>
        <w:t xml:space="preserve"> </w:t>
      </w:r>
      <w:hyperlink r:id="rId118">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19"/>
    <w:bookmarkEnd w:id="120"/>
    <w:bookmarkStart w:id="127" w:name="cross-referencing"/>
    <w:p>
      <w:pPr>
        <w:pStyle w:val="Heading2"/>
      </w:pPr>
      <w:r>
        <w:rPr>
          <w:rStyle w:val="SectionNumber"/>
        </w:rPr>
        <w:t xml:space="preserve">5.2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22" w:name="section-references"/>
    <w:p>
      <w:pPr>
        <w:pStyle w:val="Heading3"/>
      </w:pPr>
      <w:r>
        <w:rPr>
          <w:rStyle w:val="SectionNumber"/>
        </w:rPr>
        <w:t xml:space="preserve">5.2.1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6"/>
        </w:numPr>
        <w:pStyle w:val="Compact"/>
      </w:pPr>
      <w:r>
        <w:t xml:space="preserve">So if we write</w:t>
      </w:r>
      <w:r>
        <w:t xml:space="preserve"> </w:t>
      </w:r>
      <w:r>
        <w:rPr>
          <w:rStyle w:val="VerbatimChar"/>
        </w:rPr>
        <w:t xml:space="preserve">Remember what we wrote up in [the previous section](#citations)?</w:t>
      </w:r>
    </w:p>
    <w:p>
      <w:pPr>
        <w:numPr>
          <w:ilvl w:val="0"/>
          <w:numId w:val="1006"/>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21" w:name="creating-custom-labels"/>
    <w:p>
      <w:pPr>
        <w:pStyle w:val="Heading4"/>
      </w:pPr>
      <w:r>
        <w:rPr>
          <w:rStyle w:val="SectionNumber"/>
        </w:rPr>
        <w:t xml:space="preserve">5.2.1.1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4</w:t>
      </w:r>
      <w:r>
        <w:t xml:space="preserve">.</w:t>
      </w:r>
    </w:p>
    <w:bookmarkEnd w:id="121"/>
    <w:bookmarkEnd w:id="122"/>
    <w:bookmarkStart w:id="123" w:name="figure-image-and-plot-references"/>
    <w:p>
      <w:pPr>
        <w:pStyle w:val="Heading3"/>
      </w:pPr>
      <w:r>
        <w:rPr>
          <w:rStyle w:val="SectionNumber"/>
        </w:rPr>
        <w:t xml:space="preserve">5.2.2</w:t>
      </w:r>
      <w:r>
        <w:tab/>
      </w:r>
      <w:r>
        <w:t xml:space="preserve">Figure (image and plot) references</w:t>
      </w:r>
    </w:p>
    <w:p>
      <w:pPr>
        <w:numPr>
          <w:ilvl w:val="0"/>
          <w:numId w:val="1007"/>
        </w:numPr>
        <w:pStyle w:val="Compact"/>
      </w:pPr>
      <w:r>
        <w:t xml:space="preserve">To refer to figures (i.e. images and plots) use the syntax</w:t>
      </w:r>
      <w:r>
        <w:t xml:space="preserve"> </w:t>
      </w:r>
      <w:r>
        <w:rPr>
          <w:rStyle w:val="VerbatimChar"/>
        </w:rPr>
        <w:t xml:space="preserve">\@ref(fig:label)</w:t>
      </w:r>
    </w:p>
    <w:p>
      <w:pPr>
        <w:numPr>
          <w:ilvl w:val="0"/>
          <w:numId w:val="1007"/>
        </w:numPr>
        <w:pStyle w:val="Compact"/>
      </w:pPr>
      <w:r>
        <w:rPr>
          <w:bCs/>
          <w:b/>
        </w:rPr>
        <w:t xml:space="preserve">GOTCHA</w:t>
      </w:r>
      <w:r>
        <w:t xml:space="preserve">: Figures and tables must have captions if you wish to cross-reference them.</w:t>
      </w:r>
    </w:p>
    <w:p>
      <w:pPr>
        <w:pStyle w:val="FirstParagraph"/>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23"/>
    <w:bookmarkStart w:id="124" w:name="table-references"/>
    <w:p>
      <w:pPr>
        <w:pStyle w:val="Heading3"/>
      </w:pPr>
      <w:r>
        <w:rPr>
          <w:rStyle w:val="SectionNumber"/>
        </w:rPr>
        <w:t xml:space="preserve">5.2.3</w:t>
      </w:r>
      <w:r>
        <w:tab/>
      </w:r>
      <w:r>
        <w:t xml:space="preserve">Table references</w:t>
      </w:r>
    </w:p>
    <w:p>
      <w:pPr>
        <w:numPr>
          <w:ilvl w:val="0"/>
          <w:numId w:val="1008"/>
        </w:numPr>
        <w:pStyle w:val="Compact"/>
      </w:pPr>
      <w:r>
        <w:t xml:space="preserve">To refer to tables use the syntax</w:t>
      </w:r>
      <w:r>
        <w:t xml:space="preserve"> </w:t>
      </w:r>
      <w:r>
        <w:rPr>
          <w:rStyle w:val="VerbatimChar"/>
        </w:rPr>
        <w:t xml:space="preserve">\@ref(tab:label)</w:t>
      </w:r>
    </w:p>
    <w:p>
      <w:pPr>
        <w:pStyle w:val="SourceCode"/>
      </w:pPr>
      <w:r>
        <w:rPr>
          <w:rStyle w:val="VerbatimChar"/>
        </w:rP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r>
        <w:br/>
      </w:r>
      <w:r>
        <w:br/>
      </w:r>
      <w:r>
        <w:br/>
      </w:r>
      <w:r>
        <w:rPr>
          <w:rStyle w:val="VerbatimChar"/>
        </w:rPr>
        <w:t xml:space="preserve">## Reach, Impact, and Qualatative analysis </w:t>
      </w:r>
      <w:r>
        <w:br/>
      </w:r>
      <w:r>
        <w:br/>
      </w:r>
      <w:r>
        <w:br/>
      </w:r>
      <w:r>
        <w:br/>
      </w:r>
      <w:r>
        <w:rPr>
          <w:rStyle w:val="VerbatimChar"/>
        </w:rPr>
        <w:t xml:space="preserve">Dealing with tables in LaTeX can be painful.</w:t>
      </w:r>
      <w:r>
        <w:br/>
      </w:r>
      <w:r>
        <w:rPr>
          <w:rStyle w:val="VerbatimChar"/>
        </w:rPr>
        <w:t xml:space="preserve">This section explains the main tricks you need to make the pain go away.</w:t>
      </w:r>
      <w:r>
        <w:br/>
      </w:r>
      <w:r>
        <w:br/>
      </w:r>
      <w:r>
        <w:rPr>
          <w:rStyle w:val="VerbatimChar"/>
        </w:rPr>
        <w:t xml:space="preserve">(Note: if you are looking at the eBook version, you will not see much difference in this section, as it is only relevant for PDF output!)</w:t>
      </w:r>
      <w:r>
        <w:br/>
      </w:r>
      <w:r>
        <w:br/>
      </w:r>
      <w:r>
        <w:rPr>
          <w:rStyle w:val="VerbatimChar"/>
        </w:rPr>
        <w:t xml:space="preserve">### Making your table pretty</w:t>
      </w:r>
      <w:r>
        <w:br/>
      </w:r>
      <w:r>
        <w:rPr>
          <w:rStyle w:val="VerbatimChar"/>
        </w:rPr>
        <w:t xml:space="preserve">When you use `kable` to create tables, you will almost certainly want to set the option `booktabs = TRUE`.</w:t>
      </w:r>
      <w:r>
        <w:br/>
      </w:r>
      <w:r>
        <w:rPr>
          <w:rStyle w:val="VerbatimChar"/>
        </w:rPr>
        <w:t xml:space="preserve">This makes your table look a million times better:</w:t>
      </w:r>
      <w:r>
        <w:br/>
      </w:r>
      <w:r>
        <w:br/>
      </w:r>
      <w:r>
        <w:br/>
      </w:r>
      <w:r>
        <w:br/>
      </w:r>
      <w:r>
        <w:rPr>
          <w:rStyle w:val="VerbatimChar"/>
        </w:rPr>
        <w:t xml:space="preserve">Compare this to the default style, which looks terrible:</w:t>
      </w:r>
      <w:r>
        <w:br/>
      </w:r>
      <w:r>
        <w:br/>
      </w:r>
      <w:r>
        <w:br/>
      </w:r>
      <w:r>
        <w:br/>
      </w:r>
      <w:r>
        <w:rPr>
          <w:rStyle w:val="VerbatimChar"/>
        </w:rPr>
        <w:t xml:space="preserve">\begin{tabular}{l|r|r|r|r|r|r|r|r|r|r|r}</w:t>
      </w:r>
      <w:r>
        <w:br/>
      </w:r>
      <w:r>
        <w:rPr>
          <w:rStyle w:val="VerbatimChar"/>
        </w:rPr>
        <w:t xml:space="preserve">\hline</w:t>
      </w:r>
      <w:r>
        <w:br/>
      </w:r>
      <w:r>
        <w:rPr>
          <w:rStyle w:val="VerbatimChar"/>
        </w:rPr>
        <w:t xml:space="preserve">  &amp; mpg &amp; cyl &amp; disp &amp; hp &amp; drat &amp; wt &amp; qsec &amp; vs &amp; am &amp; gear &amp; carb\\</w:t>
      </w:r>
      <w:r>
        <w:br/>
      </w:r>
      <w:r>
        <w:rPr>
          <w:rStyle w:val="VerbatimChar"/>
        </w:rPr>
        <w:t xml:space="preserve">\hline</w:t>
      </w:r>
      <w:r>
        <w:br/>
      </w:r>
      <w:r>
        <w:rPr>
          <w:rStyle w:val="VerbatimChar"/>
        </w:rPr>
        <w:t xml:space="preserve">Mazda RX4 &amp; 21.0 &amp; 6 &amp; 160 &amp; 110 &amp; 3.90 &amp; 2.620 &amp; 16.46 &amp; 0 &amp; 1 &amp; 4 &amp; 4\\</w:t>
      </w:r>
      <w:r>
        <w:br/>
      </w:r>
      <w:r>
        <w:rPr>
          <w:rStyle w:val="VerbatimChar"/>
        </w:rPr>
        <w:t xml:space="preserve">\hline</w:t>
      </w:r>
      <w:r>
        <w:br/>
      </w:r>
      <w:r>
        <w:rPr>
          <w:rStyle w:val="VerbatimChar"/>
        </w:rPr>
        <w:t xml:space="preserve">Mazda RX4 Wag &amp; 21.0 &amp; 6 &amp; 160 &amp; 110 &amp; 3.90 &amp; 2.875 &amp; 17.02 &amp; 0 &amp; 1 &amp; 4 &amp; 4\\</w:t>
      </w:r>
      <w:r>
        <w:br/>
      </w:r>
      <w:r>
        <w:rPr>
          <w:rStyle w:val="VerbatimChar"/>
        </w:rPr>
        <w:t xml:space="preserve">\hline</w:t>
      </w:r>
      <w:r>
        <w:br/>
      </w:r>
      <w:r>
        <w:rPr>
          <w:rStyle w:val="VerbatimChar"/>
        </w:rPr>
        <w:t xml:space="preserve">Datsun 710 &amp; 22.8 &amp; 4 &amp; 108 &amp; 93 &amp; 3.85 &amp; 2.320 &amp; 18.61 &amp; 1 &amp; 1 &amp; 4 &amp; 1\\</w:t>
      </w:r>
      <w:r>
        <w:br/>
      </w:r>
      <w:r>
        <w:rPr>
          <w:rStyle w:val="VerbatimChar"/>
        </w:rPr>
        <w:t xml:space="preserve">\hline</w:t>
      </w:r>
      <w:r>
        <w:br/>
      </w:r>
      <w:r>
        <w:rPr>
          <w:rStyle w:val="VerbatimChar"/>
        </w:rPr>
        <w:t xml:space="preserve">Hornet 4 Drive &amp; 21.4 &amp; 6 &amp; 258 &amp; 110 &amp; 3.08 &amp; 3.215 &amp; 19.44 &amp; 1 &amp; 0 &amp; 3 &amp; 1\\</w:t>
      </w:r>
      <w:r>
        <w:br/>
      </w:r>
      <w:r>
        <w:rPr>
          <w:rStyle w:val="VerbatimChar"/>
        </w:rPr>
        <w:t xml:space="preserve">\hline</w:t>
      </w:r>
      <w:r>
        <w:br/>
      </w:r>
      <w:r>
        <w:rPr>
          <w:rStyle w:val="VerbatimChar"/>
        </w:rPr>
        <w:t xml:space="preserve">Hornet Sportabout &amp; 18.7 &amp; 8 &amp; 360 &amp; 175 &amp; 3.15 &amp; 3.440 &amp; 17.02 &amp; 0 &amp; 0 &amp; 3 &amp; 2\\</w:t>
      </w:r>
      <w:r>
        <w:br/>
      </w:r>
      <w:r>
        <w:rPr>
          <w:rStyle w:val="VerbatimChar"/>
        </w:rPr>
        <w:t xml:space="preserve">\hline</w:t>
      </w:r>
      <w:r>
        <w:br/>
      </w:r>
      <w:r>
        <w:rPr>
          <w:rStyle w:val="VerbatimChar"/>
        </w:rPr>
        <w:t xml:space="preserve">Valiant &amp; 18.1 &amp; 6 &amp; 225 &amp; 105 &amp; 2.76 &amp; 3.460 &amp; 20.22 &amp; 1 &amp; 0 &amp; 3 &amp; 1\\</w:t>
      </w:r>
      <w:r>
        <w:br/>
      </w:r>
      <w:r>
        <w:rPr>
          <w:rStyle w:val="VerbatimChar"/>
        </w:rPr>
        <w:t xml:space="preserve">\hline</w:t>
      </w:r>
      <w:r>
        <w:br/>
      </w:r>
      <w:r>
        <w:rPr>
          <w:rStyle w:val="VerbatimChar"/>
        </w:rPr>
        <w:t xml:space="preserve">\end{tabular}</w:t>
      </w:r>
      <w:r>
        <w:br/>
      </w:r>
      <w:r>
        <w:br/>
      </w:r>
      <w:r>
        <w:br/>
      </w:r>
      <w:r>
        <w:rPr>
          <w:rStyle w:val="VerbatimChar"/>
        </w:rPr>
        <w:t xml:space="preserve">### If your table is too wide</w:t>
      </w:r>
      <w:r>
        <w:br/>
      </w:r>
      <w:r>
        <w:br/>
      </w:r>
      <w:r>
        <w:br/>
      </w:r>
      <w:r>
        <w:rPr>
          <w:rStyle w:val="VerbatimChar"/>
        </w:rPr>
        <w:t xml:space="preserve">You might find that your table expands into the margins of the page, like the tables above.</w:t>
      </w:r>
      <w:r>
        <w:br/>
      </w:r>
      <w:r>
        <w:rPr>
          <w:rStyle w:val="VerbatimChar"/>
        </w:rPr>
        <w:t xml:space="preserve">Fix this with the `kable_styling` function from the [`kableExtra`](https://haozhu233.github.io/kableExtra/) package:</w:t>
      </w:r>
      <w:r>
        <w:br/>
      </w:r>
      <w:r>
        <w:br/>
      </w:r>
      <w:r>
        <w:rPr>
          <w:rStyle w:val="VerbatimChar"/>
        </w:rPr>
        <w:t xml:space="preserve">\begin{table}</w:t>
      </w:r>
      <w:r>
        <w:br/>
      </w:r>
      <w:r>
        <w:rPr>
          <w:rStyle w:val="VerbatimChar"/>
        </w:rPr>
        <w:t xml:space="preserve">\centering</w:t>
      </w:r>
      <w:r>
        <w:br/>
      </w:r>
      <w:r>
        <w:rPr>
          <w:rStyle w:val="VerbatimChar"/>
        </w:rPr>
        <w:t xml:space="preserve">\resizebox{\linewidth}{!}{</w:t>
      </w:r>
      <w:r>
        <w:br/>
      </w:r>
      <w:r>
        <w:rPr>
          <w:rStyle w:val="VerbatimChar"/>
        </w:rPr>
        <w:t xml:space="preserve">\begin{tabular}{lrrrrrrrrrrr}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Mazda RX4 &amp; 21.0 &amp; 6 &amp; 160 &amp; 110 &amp; 3.90 &amp; 2.620 &amp; 16.46 &amp; 0 &amp; 1 &amp; 4 &amp; 4\\</w:t>
      </w:r>
      <w:r>
        <w:br/>
      </w:r>
      <w:r>
        <w:rPr>
          <w:rStyle w:val="VerbatimChar"/>
        </w:rPr>
        <w:t xml:space="preserve">Mazda RX4 Wag &amp; 21.0 &amp; 6 &amp; 160 &amp; 110 &amp; 3.90 &amp; 2.875 &amp; 17.02 &amp; 0 &amp; 1 &amp; 4 &amp; 4\\</w:t>
      </w:r>
      <w:r>
        <w:br/>
      </w:r>
      <w:r>
        <w:rPr>
          <w:rStyle w:val="VerbatimChar"/>
        </w:rPr>
        <w:t xml:space="preserve">Datsun 710 &amp; 22.8 &amp; 4 &amp; 108 &amp; 93 &amp; 3.85 &amp; 2.320 &amp; 18.61 &amp; 1 &amp; 1 &amp; 4 &amp; 1\\</w:t>
      </w:r>
      <w:r>
        <w:br/>
      </w:r>
      <w:r>
        <w:rPr>
          <w:rStyle w:val="VerbatimChar"/>
        </w:rPr>
        <w:t xml:space="preserve">Hornet 4 Drive &amp; 21.4 &amp; 6 &amp; 258 &amp; 110 &amp; 3.08 &amp; 3.215 &amp; 19.44 &amp; 1 &amp; 0 &amp; 3 &amp; 1\\</w:t>
      </w:r>
      <w:r>
        <w:br/>
      </w:r>
      <w:r>
        <w:rPr>
          <w:rStyle w:val="VerbatimChar"/>
        </w:rPr>
        <w:t xml:space="preserve">Hornet Sportabout &amp; 18.7 &amp; 8 &amp; 360 &amp; 175 &amp; 3.15 &amp; 3.440 &amp; 17.02 &amp; 0 &amp; 0 &amp; 3 &amp; 2\\</w:t>
      </w:r>
      <w:r>
        <w:br/>
      </w:r>
      <w:r>
        <w:rPr>
          <w:rStyle w:val="VerbatimChar"/>
        </w:rPr>
        <w:t xml:space="preserve">\addlinespace</w:t>
      </w:r>
      <w:r>
        <w:br/>
      </w:r>
      <w:r>
        <w:rPr>
          <w:rStyle w:val="VerbatimChar"/>
        </w:rPr>
        <w:t xml:space="preserve">Valiant &amp; 18.1 &amp; 6 &amp; 225 &amp; 105 &amp; 2.76 &amp; 3.460 &amp; 20.22 &amp; 1 &amp; 0 &amp; 3 &amp; 1\\</w:t>
      </w:r>
      <w:r>
        <w:br/>
      </w:r>
      <w:r>
        <w:rPr>
          <w:rStyle w:val="VerbatimChar"/>
        </w:rPr>
        <w:t xml:space="preserve">\bottomrule</w:t>
      </w:r>
      <w:r>
        <w:br/>
      </w:r>
      <w:r>
        <w:rPr>
          <w:rStyle w:val="VerbatimChar"/>
        </w:rPr>
        <w:t xml:space="preserve">\end{tabular}}</w:t>
      </w:r>
      <w:r>
        <w:br/>
      </w:r>
      <w:r>
        <w:rPr>
          <w:rStyle w:val="VerbatimChar"/>
        </w:rPr>
        <w:t xml:space="preserve">\end{table}</w:t>
      </w:r>
      <w:r>
        <w:br/>
      </w:r>
      <w:r>
        <w:br/>
      </w:r>
      <w:r>
        <w:rPr>
          <w:rStyle w:val="VerbatimChar"/>
        </w:rPr>
        <w:t xml:space="preserve">This scales down the table to fit the page width.</w:t>
      </w:r>
      <w:r>
        <w:br/>
      </w:r>
      <w:r>
        <w:br/>
      </w:r>
      <w:r>
        <w:br/>
      </w:r>
      <w:r>
        <w:rPr>
          <w:rStyle w:val="VerbatimChar"/>
        </w:rPr>
        <w:t xml:space="preserve">### If your table is too long</w:t>
      </w:r>
      <w:r>
        <w:br/>
      </w:r>
      <w:r>
        <w:rPr>
          <w:rStyle w:val="VerbatimChar"/>
        </w:rPr>
        <w:t xml:space="preserve">If your table is too long to fit on a single page, set `longtable = TRUE` in the `kable` function to split the table across multiple pages.</w:t>
      </w:r>
      <w:r>
        <w:br/>
      </w:r>
      <w:r>
        <w:br/>
      </w:r>
      <w:r>
        <w:br/>
      </w:r>
      <w:r>
        <w:rPr>
          <w:rStyle w:val="VerbatimChar"/>
        </w:rPr>
        <w:t xml:space="preserve">\begin{longtable}{lrrrrrrrr}</w:t>
      </w:r>
      <w:r>
        <w:br/>
      </w:r>
      <w:r>
        <w:rPr>
          <w:rStyle w:val="VerbatimChar"/>
        </w:rPr>
        <w:t xml:space="preserve">\toprule</w:t>
      </w:r>
      <w:r>
        <w:br/>
      </w:r>
      <w:r>
        <w:rPr>
          <w:rStyle w:val="VerbatimChar"/>
        </w:rPr>
        <w:t xml:space="preserve">  &amp; mpg &amp; cyl &amp; disp &amp; hp &amp; drat &amp; wt &amp; qsec &amp; vs\\</w:t>
      </w:r>
      <w:r>
        <w:br/>
      </w:r>
      <w:r>
        <w:rPr>
          <w:rStyle w:val="VerbatimChar"/>
        </w:rPr>
        <w:t xml:space="preserve">\midrule</w:t>
      </w:r>
      <w:r>
        <w:br/>
      </w:r>
      <w:r>
        <w:rPr>
          <w:rStyle w:val="VerbatimChar"/>
        </w:rPr>
        <w:t xml:space="preserve">Mazda RX4 &amp; 21.0 &amp; 6 &amp; 160.0 &amp; 110 &amp; 3.90 &amp; 2.620 &amp; 16.46 &amp; 0\\</w:t>
      </w:r>
      <w:r>
        <w:br/>
      </w:r>
      <w:r>
        <w:rPr>
          <w:rStyle w:val="VerbatimChar"/>
        </w:rPr>
        <w:t xml:space="preserve">Mazda RX4 Wag &amp; 21.0 &amp; 6 &amp; 160.0 &amp; 110 &amp; 3.90 &amp; 2.875 &amp; 17.02 &amp; 0\\</w:t>
      </w:r>
      <w:r>
        <w:br/>
      </w:r>
      <w:r>
        <w:rPr>
          <w:rStyle w:val="VerbatimChar"/>
        </w:rPr>
        <w:t xml:space="preserve">Datsun 710 &amp; 22.8 &amp; 4 &amp; 108.0 &amp; 93 &amp; 3.85 &amp; 2.320 &amp; 18.61 &amp; 1\\</w:t>
      </w:r>
      <w:r>
        <w:br/>
      </w:r>
      <w:r>
        <w:rPr>
          <w:rStyle w:val="VerbatimChar"/>
        </w:rPr>
        <w:t xml:space="preserve">Hornet 4 Drive &amp; 21.4 &amp; 6 &amp; 258.0 &amp; 110 &amp; 3.08 &amp; 3.215 &amp; 19.44 &amp; 1\\</w:t>
      </w:r>
      <w:r>
        <w:br/>
      </w:r>
      <w:r>
        <w:rPr>
          <w:rStyle w:val="VerbatimChar"/>
        </w:rPr>
        <w:t xml:space="preserve">Hornet Sportabout &amp; 18.7 &amp; 8 &amp; 360.0 &amp; 175 &amp; 3.15 &amp; 3.440 &amp; 17.02 &amp; 0\\</w:t>
      </w:r>
      <w:r>
        <w:br/>
      </w:r>
      <w:r>
        <w:rPr>
          <w:rStyle w:val="VerbatimChar"/>
        </w:rPr>
        <w:t xml:space="preserve">\addlinespace</w:t>
      </w:r>
      <w:r>
        <w:br/>
      </w:r>
      <w:r>
        <w:rPr>
          <w:rStyle w:val="VerbatimChar"/>
        </w:rPr>
        <w:t xml:space="preserve">Valiant &amp; 18.1 &amp; 6 &amp; 225.0 &amp; 105 &amp; 2.76 &amp; 3.460 &amp; 20.22 &amp; 1\\</w:t>
      </w:r>
      <w:r>
        <w:br/>
      </w:r>
      <w:r>
        <w:rPr>
          <w:rStyle w:val="VerbatimChar"/>
        </w:rPr>
        <w:t xml:space="preserve">Duster 360 &amp; 14.3 &amp; 8 &amp; 360.0 &amp; 245 &amp; 3.21 &amp; 3.570 &amp; 15.84 &amp; 0\\</w:t>
      </w:r>
      <w:r>
        <w:br/>
      </w:r>
      <w:r>
        <w:rPr>
          <w:rStyle w:val="VerbatimChar"/>
        </w:rPr>
        <w:t xml:space="preserve">Merc 240D &amp; 24.4 &amp; 4 &amp; 146.7 &amp; 62 &amp; 3.69 &amp; 3.190 &amp; 20.00 &amp; 1\\</w:t>
      </w:r>
      <w:r>
        <w:br/>
      </w:r>
      <w:r>
        <w:rPr>
          <w:rStyle w:val="VerbatimChar"/>
        </w:rPr>
        <w:t xml:space="preserve">Merc 230 &amp; 22.8 &amp; 4 &amp; 140.8 &amp; 95 &amp; 3.92 &amp; 3.150 &amp; 22.90 &amp; 1\\</w:t>
      </w:r>
      <w:r>
        <w:br/>
      </w:r>
      <w:r>
        <w:rPr>
          <w:rStyle w:val="VerbatimChar"/>
        </w:rPr>
        <w:t xml:space="preserve">Merc 280 &amp; 19.2 &amp; 6 &amp; 167.6 &amp; 123 &amp; 3.92 &amp; 3.440 &amp; 18.30 &amp; 1\\</w:t>
      </w:r>
      <w:r>
        <w:br/>
      </w:r>
      <w:r>
        <w:rPr>
          <w:rStyle w:val="VerbatimChar"/>
        </w:rPr>
        <w:t xml:space="preserve">\addlinespace</w:t>
      </w:r>
      <w:r>
        <w:br/>
      </w:r>
      <w:r>
        <w:rPr>
          <w:rStyle w:val="VerbatimChar"/>
        </w:rPr>
        <w:t xml:space="preserve">Merc 280C &amp; 17.8 &amp; 6 &amp; 167.6 &amp; 123 &amp; 3.92 &amp; 3.440 &amp; 18.90 &amp; 1\\</w:t>
      </w:r>
      <w:r>
        <w:br/>
      </w:r>
      <w:r>
        <w:rPr>
          <w:rStyle w:val="VerbatimChar"/>
        </w:rPr>
        <w:t xml:space="preserve">Merc 450SE &amp; 16.4 &amp; 8 &amp; 275.8 &amp; 180 &amp; 3.07 &amp; 4.070 &amp; 17.40 &amp; 0\\</w:t>
      </w:r>
      <w:r>
        <w:br/>
      </w:r>
      <w:r>
        <w:rPr>
          <w:rStyle w:val="VerbatimChar"/>
        </w:rPr>
        <w:t xml:space="preserve">Merc 450SL &amp; 17.3 &amp; 8 &amp; 275.8 &amp; 180 &amp; 3.07 &amp; 3.730 &amp; 17.60 &amp; 0\\</w:t>
      </w:r>
      <w:r>
        <w:br/>
      </w:r>
      <w:r>
        <w:rPr>
          <w:rStyle w:val="VerbatimChar"/>
        </w:rPr>
        <w:t xml:space="preserve">Merc 450SLC &amp; 15.2 &amp; 8 &amp; 275.8 &amp; 180 &amp; 3.07 &amp; 3.780 &amp; 18.00 &amp; 0\\</w:t>
      </w:r>
      <w:r>
        <w:br/>
      </w:r>
      <w:r>
        <w:rPr>
          <w:rStyle w:val="VerbatimChar"/>
        </w:rPr>
        <w:t xml:space="preserve">Cadillac Fleetwood &amp; 10.4 &amp; 8 &amp; 472.0 &amp; 205 &amp; 2.93 &amp; 5.250 &amp; 17.98 &amp; 0\\</w:t>
      </w:r>
      <w:r>
        <w:br/>
      </w:r>
      <w:r>
        <w:rPr>
          <w:rStyle w:val="VerbatimChar"/>
        </w:rPr>
        <w:t xml:space="preserve">\addlinespace</w:t>
      </w:r>
      <w:r>
        <w:br/>
      </w:r>
      <w:r>
        <w:rPr>
          <w:rStyle w:val="VerbatimChar"/>
        </w:rPr>
        <w:t xml:space="preserve">Lincoln Continental &amp; 10.4 &amp; 8 &amp; 460.0 &amp; 215 &amp; 3.00 &amp; 5.424 &amp; 17.82 &amp; 0\\</w:t>
      </w:r>
      <w:r>
        <w:br/>
      </w:r>
      <w:r>
        <w:rPr>
          <w:rStyle w:val="VerbatimChar"/>
        </w:rPr>
        <w:t xml:space="preserve">Chrysler Imperial &amp; 14.7 &amp; 8 &amp; 440.0 &amp; 230 &amp; 3.23 &amp; 5.345 &amp; 17.42 &amp; 0\\</w:t>
      </w:r>
      <w:r>
        <w:br/>
      </w:r>
      <w:r>
        <w:rPr>
          <w:rStyle w:val="VerbatimChar"/>
        </w:rPr>
        <w:t xml:space="preserve">Fiat 128 &amp; 32.4 &amp; 4 &amp; 78.7 &amp; 66 &amp; 4.08 &amp; 2.200 &amp; 19.47 &amp; 1\\</w:t>
      </w:r>
      <w:r>
        <w:br/>
      </w:r>
      <w:r>
        <w:rPr>
          <w:rStyle w:val="VerbatimChar"/>
        </w:rPr>
        <w:t xml:space="preserve">Honda Civic &amp; 30.4 &amp; 4 &amp; 75.7 &amp; 52 &amp; 4.93 &amp; 1.615 &amp; 18.52 &amp; 1\\</w:t>
      </w:r>
      <w:r>
        <w:br/>
      </w:r>
      <w:r>
        <w:rPr>
          <w:rStyle w:val="VerbatimChar"/>
        </w:rPr>
        <w:t xml:space="preserve">Toyota Corolla &amp; 33.9 &amp; 4 &amp; 71.1 &amp; 65 &amp; 4.22 &amp; 1.835 &amp; 19.90 &amp; 1\\</w:t>
      </w:r>
      <w:r>
        <w:br/>
      </w:r>
      <w:r>
        <w:rPr>
          <w:rStyle w:val="VerbatimChar"/>
        </w:rPr>
        <w:t xml:space="preserve">\addlinespace</w:t>
      </w:r>
      <w:r>
        <w:br/>
      </w:r>
      <w:r>
        <w:rPr>
          <w:rStyle w:val="VerbatimChar"/>
        </w:rPr>
        <w:t xml:space="preserve">Toyota Corona &amp; 21.5 &amp; 4 &amp; 120.1 &amp; 97 &amp; 3.70 &amp; 2.465 &amp; 20.01 &amp; 1\\</w:t>
      </w:r>
      <w:r>
        <w:br/>
      </w:r>
      <w:r>
        <w:rPr>
          <w:rStyle w:val="VerbatimChar"/>
        </w:rPr>
        <w:t xml:space="preserve">Dodge Challenger &amp; 15.5 &amp; 8 &amp; 318.0 &amp; 150 &amp; 2.76 &amp; 3.520 &amp; 16.87 &amp; 0\\</w:t>
      </w:r>
      <w:r>
        <w:br/>
      </w:r>
      <w:r>
        <w:rPr>
          <w:rStyle w:val="VerbatimChar"/>
        </w:rPr>
        <w:t xml:space="preserve">AMC Javelin &amp; 15.2 &amp; 8 &amp; 304.0 &amp; 150 &amp; 3.15 &amp; 3.435 &amp; 17.30 &amp; 0\\</w:t>
      </w:r>
      <w:r>
        <w:br/>
      </w:r>
      <w:r>
        <w:rPr>
          <w:rStyle w:val="VerbatimChar"/>
        </w:rPr>
        <w:t xml:space="preserve">Camaro Z28 &amp; 13.3 &amp; 8 &amp; 350.0 &amp; 245 &amp; 3.73 &amp; 3.840 &amp; 15.41 &amp; 0\\</w:t>
      </w:r>
      <w:r>
        <w:br/>
      </w:r>
      <w:r>
        <w:rPr>
          <w:rStyle w:val="VerbatimChar"/>
        </w:rPr>
        <w:t xml:space="preserve">Pontiac Firebird &amp; 19.2 &amp; 8 &amp; 400.0 &amp; 175 &amp; 3.08 &amp; 3.845 &amp; 17.05 &amp; 0\\</w:t>
      </w:r>
      <w:r>
        <w:br/>
      </w:r>
      <w:r>
        <w:rPr>
          <w:rStyle w:val="VerbatimChar"/>
        </w:rPr>
        <w:t xml:space="preserve">\addlinespace</w:t>
      </w:r>
      <w:r>
        <w:br/>
      </w:r>
      <w:r>
        <w:rPr>
          <w:rStyle w:val="VerbatimChar"/>
        </w:rPr>
        <w:t xml:space="preserve">Fiat X1-9 &amp; 27.3 &amp; 4 &amp; 79.0 &amp; 66 &amp; 4.08 &amp; 1.935 &amp; 18.90 &amp; 1\\</w:t>
      </w:r>
      <w:r>
        <w:br/>
      </w:r>
      <w:r>
        <w:rPr>
          <w:rStyle w:val="VerbatimChar"/>
        </w:rPr>
        <w:t xml:space="preserve">Porsche 914-2 &amp; 26.0 &amp; 4 &amp; 120.3 &amp; 91 &amp; 4.43 &amp; 2.140 &amp; 16.70 &amp; 0\\</w:t>
      </w:r>
      <w:r>
        <w:br/>
      </w:r>
      <w:r>
        <w:rPr>
          <w:rStyle w:val="VerbatimChar"/>
        </w:rPr>
        <w:t xml:space="preserve">Lotus Europa &amp; 30.4 &amp; 4 &amp; 95.1 &amp; 113 &amp; 3.77 &amp; 1.513 &amp; 16.90 &amp; 1\\</w:t>
      </w:r>
      <w:r>
        <w:br/>
      </w:r>
      <w:r>
        <w:rPr>
          <w:rStyle w:val="VerbatimChar"/>
        </w:rPr>
        <w:t xml:space="preserve">Ford Pantera L &amp; 15.8 &amp; 8 &amp; 351.0 &amp; 264 &amp; 4.22 &amp; 3.170 &amp; 14.50 &amp; 0\\</w:t>
      </w:r>
      <w:r>
        <w:br/>
      </w:r>
      <w:r>
        <w:rPr>
          <w:rStyle w:val="VerbatimChar"/>
        </w:rPr>
        <w:t xml:space="preserve">Ferrari Dino &amp; 19.7 &amp; 6 &amp; 145.0 &amp; 175 &amp; 3.62 &amp; 2.770 &amp; 15.50 &amp; 0\\</w:t>
      </w:r>
      <w:r>
        <w:br/>
      </w:r>
      <w:r>
        <w:rPr>
          <w:rStyle w:val="VerbatimChar"/>
        </w:rPr>
        <w:t xml:space="preserve">\addlinespace</w:t>
      </w:r>
      <w:r>
        <w:br/>
      </w:r>
      <w:r>
        <w:rPr>
          <w:rStyle w:val="VerbatimChar"/>
        </w:rPr>
        <w:t xml:space="preserve">Maserati Bora &amp; 15.0 &amp; 8 &amp; 301.0 &amp; 335 &amp; 3.54 &amp; 3.570 &amp; 14.60 &amp; 0\\</w:t>
      </w:r>
      <w:r>
        <w:br/>
      </w:r>
      <w:r>
        <w:rPr>
          <w:rStyle w:val="VerbatimChar"/>
        </w:rPr>
        <w:t xml:space="preserve">Volvo 142E &amp; 21.4 &amp; 4 &amp; 121.0 &amp; 109 &amp; 4.11 &amp; 2.780 &amp; 18.60 &amp; 1\\</w:t>
      </w:r>
      <w:r>
        <w:br/>
      </w:r>
      <w:r>
        <w:rPr>
          <w:rStyle w:val="VerbatimChar"/>
        </w:rPr>
        <w:t xml:space="preserve">Mazda RX41 &amp; 21.0 &amp; 6 &amp; 160.0 &amp; 110 &amp; 3.90 &amp; 2.620 &amp; 16.46 &amp; 0\\</w:t>
      </w:r>
      <w:r>
        <w:br/>
      </w:r>
      <w:r>
        <w:rPr>
          <w:rStyle w:val="VerbatimChar"/>
        </w:rPr>
        <w:t xml:space="preserve">Mazda RX4 Wag1 &amp; 21.0 &amp; 6 &amp; 160.0 &amp; 110 &amp; 3.90 &amp; 2.875 &amp; 17.02 &amp; 0\\</w:t>
      </w:r>
      <w:r>
        <w:br/>
      </w:r>
      <w:r>
        <w:rPr>
          <w:rStyle w:val="VerbatimChar"/>
        </w:rPr>
        <w:t xml:space="preserve">Datsun 7101 &amp; 22.8 &amp; 4 &amp; 108.0 &amp; 93 &amp; 3.85 &amp; 2.320 &amp; 18.61 &amp; 1\\</w:t>
      </w:r>
      <w:r>
        <w:br/>
      </w:r>
      <w:r>
        <w:rPr>
          <w:rStyle w:val="VerbatimChar"/>
        </w:rPr>
        <w:t xml:space="preserve">\addlinespace</w:t>
      </w:r>
      <w:r>
        <w:br/>
      </w:r>
      <w:r>
        <w:rPr>
          <w:rStyle w:val="VerbatimChar"/>
        </w:rPr>
        <w:t xml:space="preserve">Hornet 4 Drive1 &amp; 21.4 &amp; 6 &amp; 258.0 &amp; 110 &amp; 3.08 &amp; 3.215 &amp; 19.44 &amp; 1\\</w:t>
      </w:r>
      <w:r>
        <w:br/>
      </w:r>
      <w:r>
        <w:rPr>
          <w:rStyle w:val="VerbatimChar"/>
        </w:rPr>
        <w:t xml:space="preserve">Hornet Sportabout1 &amp; 18.7 &amp; 8 &amp; 360.0 &amp; 175 &amp; 3.15 &amp; 3.440 &amp; 17.02 &amp; 0\\</w:t>
      </w:r>
      <w:r>
        <w:br/>
      </w:r>
      <w:r>
        <w:rPr>
          <w:rStyle w:val="VerbatimChar"/>
        </w:rPr>
        <w:t xml:space="preserve">Valiant1 &amp; 18.1 &amp; 6 &amp; 225.0 &amp; 105 &amp; 2.76 &amp; 3.460 &amp; 20.22 &amp; 1\\</w:t>
      </w:r>
      <w:r>
        <w:br/>
      </w:r>
      <w:r>
        <w:rPr>
          <w:rStyle w:val="VerbatimChar"/>
        </w:rPr>
        <w:t xml:space="preserve">Duster 3601 &amp; 14.3 &amp; 8 &amp; 360.0 &amp; 245 &amp; 3.21 &amp; 3.570 &amp; 15.84 &amp; 0\\</w:t>
      </w:r>
      <w:r>
        <w:br/>
      </w:r>
      <w:r>
        <w:rPr>
          <w:rStyle w:val="VerbatimChar"/>
        </w:rPr>
        <w:t xml:space="preserve">Merc 240D1 &amp; 24.4 &amp; 4 &amp; 146.7 &amp; 62 &amp; 3.69 &amp; 3.190 &amp; 20.00 &amp; 1\\</w:t>
      </w:r>
      <w:r>
        <w:br/>
      </w:r>
      <w:r>
        <w:rPr>
          <w:rStyle w:val="VerbatimChar"/>
        </w:rPr>
        <w:t xml:space="preserve">\addlinespace</w:t>
      </w:r>
      <w:r>
        <w:br/>
      </w:r>
      <w:r>
        <w:rPr>
          <w:rStyle w:val="VerbatimChar"/>
        </w:rPr>
        <w:t xml:space="preserve">Merc 2301 &amp; 22.8 &amp; 4 &amp; 140.8 &amp; 95 &amp; 3.92 &amp; 3.150 &amp; 22.90 &amp; 1\\</w:t>
      </w:r>
      <w:r>
        <w:br/>
      </w:r>
      <w:r>
        <w:rPr>
          <w:rStyle w:val="VerbatimChar"/>
        </w:rPr>
        <w:t xml:space="preserve">Merc 2801 &amp; 19.2 &amp; 6 &amp; 167.6 &amp; 123 &amp; 3.92 &amp; 3.440 &amp; 18.30 &amp; 1\\</w:t>
      </w:r>
      <w:r>
        <w:br/>
      </w:r>
      <w:r>
        <w:rPr>
          <w:rStyle w:val="VerbatimChar"/>
        </w:rPr>
        <w:t xml:space="preserve">Merc 280C1 &amp; 17.8 &amp; 6 &amp; 167.6 &amp; 123 &amp; 3.92 &amp; 3.440 &amp; 18.90 &amp; 1\\</w:t>
      </w:r>
      <w:r>
        <w:br/>
      </w:r>
      <w:r>
        <w:rPr>
          <w:rStyle w:val="VerbatimChar"/>
        </w:rPr>
        <w:t xml:space="preserve">Merc 450SE1 &amp; 16.4 &amp; 8 &amp; 275.8 &amp; 180 &amp; 3.07 &amp; 4.070 &amp; 17.40 &amp; 0\\</w:t>
      </w:r>
      <w:r>
        <w:br/>
      </w:r>
      <w:r>
        <w:rPr>
          <w:rStyle w:val="VerbatimChar"/>
        </w:rPr>
        <w:t xml:space="preserve">Merc 450SL1 &amp; 17.3 &amp; 8 &amp; 275.8 &amp; 180 &amp; 3.07 &amp; 3.730 &amp; 17.60 &amp; 0\\</w:t>
      </w:r>
      <w:r>
        <w:br/>
      </w:r>
      <w:r>
        <w:rPr>
          <w:rStyle w:val="VerbatimChar"/>
        </w:rPr>
        <w:t xml:space="preserve">\addlinespace</w:t>
      </w:r>
      <w:r>
        <w:br/>
      </w:r>
      <w:r>
        <w:rPr>
          <w:rStyle w:val="VerbatimChar"/>
        </w:rPr>
        <w:t xml:space="preserve">Merc 450SLC1 &amp; 15.2 &amp; 8 &amp; 275.8 &amp; 180 &amp; 3.07 &amp; 3.780 &amp; 18.00 &amp; 0\\</w:t>
      </w:r>
      <w:r>
        <w:br/>
      </w:r>
      <w:r>
        <w:rPr>
          <w:rStyle w:val="VerbatimChar"/>
        </w:rPr>
        <w:t xml:space="preserve">Cadillac Fleetwood1 &amp; 10.4 &amp; 8 &amp; 472.0 &amp; 205 &amp; 2.93 &amp; 5.250 &amp; 17.98 &amp; 0\\</w:t>
      </w:r>
      <w:r>
        <w:br/>
      </w:r>
      <w:r>
        <w:rPr>
          <w:rStyle w:val="VerbatimChar"/>
        </w:rPr>
        <w:t xml:space="preserve">Lincoln Continental1 &amp; 10.4 &amp; 8 &amp; 460.0 &amp; 215 &amp; 3.00 &amp; 5.424 &amp; 17.82 &amp; 0\\</w:t>
      </w:r>
      <w:r>
        <w:br/>
      </w:r>
      <w:r>
        <w:rPr>
          <w:rStyle w:val="VerbatimChar"/>
        </w:rPr>
        <w:t xml:space="preserve">Chrysler Imperial1 &amp; 14.7 &amp; 8 &amp; 440.0 &amp; 230 &amp; 3.23 &amp; 5.345 &amp; 17.42 &amp; 0\\</w:t>
      </w:r>
      <w:r>
        <w:br/>
      </w:r>
      <w:r>
        <w:rPr>
          <w:rStyle w:val="VerbatimChar"/>
        </w:rPr>
        <w:t xml:space="preserve">Fiat 1281 &amp; 32.4 &amp; 4 &amp; 78.7 &amp; 66 &amp; 4.08 &amp; 2.200 &amp; 19.47 &amp; 1\\</w:t>
      </w:r>
      <w:r>
        <w:br/>
      </w:r>
      <w:r>
        <w:rPr>
          <w:rStyle w:val="VerbatimChar"/>
        </w:rPr>
        <w:t xml:space="preserve">\addlinespace</w:t>
      </w:r>
      <w:r>
        <w:br/>
      </w:r>
      <w:r>
        <w:rPr>
          <w:rStyle w:val="VerbatimChar"/>
        </w:rPr>
        <w:t xml:space="preserve">Honda Civic1 &amp; 30.4 &amp; 4 &amp; 75.7 &amp; 52 &amp; 4.93 &amp; 1.615 &amp; 18.52 &amp; 1\\</w:t>
      </w:r>
      <w:r>
        <w:br/>
      </w:r>
      <w:r>
        <w:rPr>
          <w:rStyle w:val="VerbatimChar"/>
        </w:rPr>
        <w:t xml:space="preserve">Toyota Corolla1 &amp; 33.9 &amp; 4 &amp; 71.1 &amp; 65 &amp; 4.22 &amp; 1.835 &amp; 19.90 &amp; 1\\</w:t>
      </w:r>
      <w:r>
        <w:br/>
      </w:r>
      <w:r>
        <w:rPr>
          <w:rStyle w:val="VerbatimChar"/>
        </w:rPr>
        <w:t xml:space="preserve">Toyota Corona1 &amp; 21.5 &amp; 4 &amp; 120.1 &amp; 97 &amp; 3.70 &amp; 2.465 &amp; 20.01 &amp; 1\\</w:t>
      </w:r>
      <w:r>
        <w:br/>
      </w:r>
      <w:r>
        <w:rPr>
          <w:rStyle w:val="VerbatimChar"/>
        </w:rPr>
        <w:t xml:space="preserve">Dodge Challenger1 &amp; 15.5 &amp; 8 &amp; 318.0 &amp; 150 &amp; 2.76 &amp; 3.520 &amp; 16.87 &amp; 0\\</w:t>
      </w:r>
      <w:r>
        <w:br/>
      </w:r>
      <w:r>
        <w:rPr>
          <w:rStyle w:val="VerbatimChar"/>
        </w:rPr>
        <w:t xml:space="preserve">AMC Javelin1 &amp; 15.2 &amp; 8 &amp; 304.0 &amp; 150 &amp; 3.15 &amp; 3.435 &amp; 17.30 &amp; 0\\</w:t>
      </w:r>
      <w:r>
        <w:br/>
      </w:r>
      <w:r>
        <w:rPr>
          <w:rStyle w:val="VerbatimChar"/>
        </w:rPr>
        <w:t xml:space="preserve">\addlinespace</w:t>
      </w:r>
      <w:r>
        <w:br/>
      </w:r>
      <w:r>
        <w:rPr>
          <w:rStyle w:val="VerbatimChar"/>
        </w:rPr>
        <w:t xml:space="preserve">Camaro Z281 &amp; 13.3 &amp; 8 &amp; 350.0 &amp; 245 &amp; 3.73 &amp; 3.840 &amp; 15.41 &amp; 0\\</w:t>
      </w:r>
      <w:r>
        <w:br/>
      </w:r>
      <w:r>
        <w:rPr>
          <w:rStyle w:val="VerbatimChar"/>
        </w:rPr>
        <w:t xml:space="preserve">Pontiac Firebird1 &amp; 19.2 &amp; 8 &amp; 400.0 &amp; 175 &amp; 3.08 &amp; 3.845 &amp; 17.05 &amp; 0\\</w:t>
      </w:r>
      <w:r>
        <w:br/>
      </w:r>
      <w:r>
        <w:rPr>
          <w:rStyle w:val="VerbatimChar"/>
        </w:rPr>
        <w:t xml:space="preserve">Fiat X1-91 &amp; 27.3 &amp; 4 &amp; 79.0 &amp; 66 &amp; 4.08 &amp; 1.935 &amp; 18.90 &amp; 1\\</w:t>
      </w:r>
      <w:r>
        <w:br/>
      </w:r>
      <w:r>
        <w:rPr>
          <w:rStyle w:val="VerbatimChar"/>
        </w:rPr>
        <w:t xml:space="preserve">Porsche 914-21 &amp; 26.0 &amp; 4 &amp; 120.3 &amp; 91 &amp; 4.43 &amp; 2.140 &amp; 16.70 &amp; 0\\</w:t>
      </w:r>
      <w:r>
        <w:br/>
      </w:r>
      <w:r>
        <w:rPr>
          <w:rStyle w:val="VerbatimChar"/>
        </w:rPr>
        <w:t xml:space="preserve">Lotus Europa1 &amp; 30.4 &amp; 4 &amp; 95.1 &amp; 113 &amp; 3.77 &amp; 1.513 &amp; 16.90 &amp; 1\\</w:t>
      </w:r>
      <w:r>
        <w:br/>
      </w:r>
      <w:r>
        <w:rPr>
          <w:rStyle w:val="VerbatimChar"/>
        </w:rPr>
        <w:t xml:space="preserve">\addlinespace</w:t>
      </w:r>
      <w:r>
        <w:br/>
      </w:r>
      <w:r>
        <w:rPr>
          <w:rStyle w:val="VerbatimChar"/>
        </w:rPr>
        <w:t xml:space="preserve">Ford Pantera L1 &amp; 15.8 &amp; 8 &amp; 351.0 &amp; 264 &amp; 4.22 &amp; 3.170 &amp; 14.50 &amp; 0\\</w:t>
      </w:r>
      <w:r>
        <w:br/>
      </w:r>
      <w:r>
        <w:rPr>
          <w:rStyle w:val="VerbatimChar"/>
        </w:rPr>
        <w:t xml:space="preserve">Ferrari Dino1 &amp; 19.7 &amp; 6 &amp; 145.0 &amp; 175 &amp; 3.62 &amp; 2.770 &amp; 15.50 &amp; 0\\</w:t>
      </w:r>
      <w:r>
        <w:br/>
      </w:r>
      <w:r>
        <w:rPr>
          <w:rStyle w:val="VerbatimChar"/>
        </w:rPr>
        <w:t xml:space="preserve">Maserati Bora1 &amp; 15.0 &amp; 8 &amp; 301.0 &amp; 335 &amp; 3.54 &amp; 3.570 &amp; 14.60 &amp; 0\\</w:t>
      </w:r>
      <w:r>
        <w:br/>
      </w:r>
      <w:r>
        <w:rPr>
          <w:rStyle w:val="VerbatimChar"/>
        </w:rPr>
        <w:t xml:space="preserve">Volvo 142E1 &amp; 21.4 &amp; 4 &amp; 121.0 &amp; 109 &amp; 4.11 &amp; 2.780 &amp; 18.60 &amp; 1\\</w:t>
      </w:r>
      <w:r>
        <w:br/>
      </w:r>
      <w:r>
        <w:rPr>
          <w:rStyle w:val="VerbatimChar"/>
        </w:rPr>
        <w:t xml:space="preserve">\bottomrule</w:t>
      </w:r>
      <w:r>
        <w:br/>
      </w:r>
      <w:r>
        <w:rPr>
          <w:rStyle w:val="VerbatimChar"/>
        </w:rPr>
        <w:t xml:space="preserve">\end{longtable}</w:t>
      </w:r>
      <w:r>
        <w:br/>
      </w:r>
      <w:r>
        <w:br/>
      </w:r>
      <w:r>
        <w:rPr>
          <w:rStyle w:val="VerbatimChar"/>
        </w:rPr>
        <w:t xml:space="preserve">When you do this, you'll probably want to make the header repeat on new pages.</w:t>
      </w:r>
      <w:r>
        <w:br/>
      </w:r>
      <w:r>
        <w:rPr>
          <w:rStyle w:val="VerbatimChar"/>
        </w:rPr>
        <w:t xml:space="preserve">Do this with the `kable_styling` function from `kableExtra`:</w:t>
      </w:r>
      <w:r>
        <w:br/>
      </w:r>
      <w:r>
        <w:br/>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br/>
      </w:r>
      <w:r>
        <w:rPr>
          <w:rStyle w:val="VerbatimChar"/>
        </w:rPr>
        <w:t xml:space="preserve">Unfortunately, we cannot use the `scale_down` option with a `longtable`. </w:t>
      </w:r>
      <w:r>
        <w:br/>
      </w:r>
      <w:r>
        <w:rPr>
          <w:rStyle w:val="VerbatimChar"/>
        </w:rPr>
        <w:t xml:space="preserve">So if a `longtable` is too wide, you can either manually adjust the font size, or show the table in landscape layout. </w:t>
      </w:r>
      <w:r>
        <w:br/>
      </w:r>
      <w:r>
        <w:rPr>
          <w:rStyle w:val="VerbatimChar"/>
        </w:rPr>
        <w:t xml:space="preserve">To adjust the font size, use kableExtra's `font_size` option:</w:t>
      </w:r>
      <w:r>
        <w:br/>
      </w:r>
      <w:r>
        <w:br/>
      </w:r>
      <w:r>
        <w:rPr>
          <w:rStyle w:val="VerbatimChar"/>
        </w:rPr>
        <w:t xml:space="preserve">\begingroup\fontsize{9}{11}\selectfont</w:t>
      </w:r>
      <w:r>
        <w:br/>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\endgroup{}</w:t>
      </w:r>
      <w:r>
        <w:br/>
      </w:r>
      <w:r>
        <w:br/>
      </w:r>
      <w:r>
        <w:rPr>
          <w:rStyle w:val="VerbatimChar"/>
        </w:rPr>
        <w:t xml:space="preserve">To put the table in landscape mode, use kableExtra's `landscape` function:</w:t>
      </w:r>
      <w:r>
        <w:br/>
      </w:r>
      <w:r>
        <w:br/>
      </w:r>
      <w:r>
        <w:br/>
      </w:r>
      <w:r>
        <w:rPr>
          <w:rStyle w:val="VerbatimChar"/>
        </w:rPr>
        <w:t xml:space="preserve">\begin{landscape}</w:t>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\end{landscape}</w:t>
      </w:r>
      <w:r>
        <w:br/>
      </w:r>
      <w:r>
        <w:br/>
      </w:r>
      <w:r>
        <w:rPr>
          <w:rStyle w:val="VerbatimChar"/>
        </w:rPr>
        <w:t xml:space="preserve">### Max power: manually adjust the raw LaTeX output {#max-power}</w:t>
      </w:r>
      <w:r>
        <w:br/>
      </w:r>
      <w:r>
        <w:rPr>
          <w:rStyle w:val="VerbatimChar"/>
        </w:rPr>
        <w:t xml:space="preserve">For total flexibility, you can adjust the raw LaTeX output from `kable`/`kableExtra` that generates the table.</w:t>
      </w:r>
      <w:r>
        <w:br/>
      </w:r>
      <w:r>
        <w:rPr>
          <w:rStyle w:val="VerbatimChar"/>
        </w:rPr>
        <w:t xml:space="preserve">Let us consider how we would do this for the example of adjusting the font size if our table is too wide:</w:t>
      </w:r>
      <w:r>
        <w:br/>
      </w:r>
      <w:r>
        <w:rPr>
          <w:rStyle w:val="VerbatimChar"/>
        </w:rPr>
        <w:t xml:space="preserve">Latex has a bunch of standard commands that set an approximate font size, as shown below in Figure &lt;a href="#fig:latex-font-sizing"&gt;&lt;strong&gt;??&lt;/strong&gt;&lt;/a&gt;.</w:t>
      </w:r>
      <w:r>
        <w:br/>
      </w:r>
      <w:r>
        <w:br/>
      </w:r>
      <w:r>
        <w:rPr>
          <w:rStyle w:val="VerbatimChar"/>
        </w:rPr>
        <w:t xml:space="preserve">![(\#fig:latex-font-sizing)Font sizes in LaTeX](figures/sample-content/latex_font_sizes.png){width=50%}</w:t>
      </w:r>
      <w:r>
        <w:br/>
      </w:r>
      <w:r>
        <w:br/>
      </w:r>
      <w:r>
        <w:rPr>
          <w:rStyle w:val="VerbatimChar"/>
        </w:rPr>
        <w:t xml:space="preserve">You could use these to manually adjust the font size in your longtable in two steps:</w:t>
      </w:r>
      <w:r>
        <w:br/>
      </w:r>
      <w:r>
        <w:br/>
      </w:r>
      <w:r>
        <w:rPr>
          <w:rStyle w:val="VerbatimChar"/>
        </w:rPr>
        <w:t xml:space="preserve">1. Wrap the longtable environment in, e.g., a `scriptsize` environment, by doing a string replacement in the output from `kable`/`kableExtra`</w:t>
      </w:r>
      <w:r>
        <w:br/>
      </w:r>
      <w:r>
        <w:rPr>
          <w:rStyle w:val="VerbatimChar"/>
        </w:rPr>
        <w:t xml:space="preserve">2. Add the attributes that make R Markdown understand that the table is a table (it seems R drops these when we do the string replacement)</w:t>
      </w:r>
      <w:r>
        <w:br/>
      </w:r>
      <w:r>
        <w:br/>
      </w:r>
      <w:r>
        <w:br/>
      </w:r>
      <w:r>
        <w:rPr>
          <w:rStyle w:val="VerbatimChar"/>
        </w:rPr>
        <w:t xml:space="preserve">\begin{scriptsize}</w:t>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\end{scriptsize}</w:t>
      </w:r>
      <w:r>
        <w:br/>
      </w:r>
      <w:r>
        <w:br/>
      </w:r>
      <w:r>
        <w:rPr>
          <w:rStyle w:val="VerbatimChar"/>
        </w:rPr>
        <w:t xml:space="preserve">&lt;!--chapter:end:04-Discussion.Rmd--&gt;</w:t>
      </w:r>
      <w:r>
        <w:br/>
      </w:r>
      <w:r>
        <w:br/>
      </w:r>
      <w:r>
        <w:rPr>
          <w:rStyle w:val="VerbatimChar"/>
        </w:rPr>
        <w:t xml:space="preserve">output:</w:t>
      </w:r>
      <w:r>
        <w:br/>
      </w:r>
      <w:r>
        <w:rPr>
          <w:rStyle w:val="VerbatimChar"/>
        </w:rPr>
        <w:t xml:space="preserve">  #bookdown::html_document2: default</w:t>
      </w:r>
      <w:r>
        <w:br/>
      </w:r>
      <w:r>
        <w:rPr>
          <w:rStyle w:val="VerbatimChar"/>
        </w:rPr>
        <w:t xml:space="preserve">  #bookdown::word_document2: default</w:t>
      </w:r>
      <w:r>
        <w:br/>
      </w:r>
      <w:r>
        <w:rPr>
          <w:rStyle w:val="VerbatimChar"/>
        </w:rPr>
        <w:t xml:space="preserve">  bookdown::pdf_document2: </w:t>
      </w:r>
      <w:r>
        <w:br/>
      </w:r>
      <w:r>
        <w:rPr>
          <w:rStyle w:val="VerbatimChar"/>
        </w:rPr>
        <w:t xml:space="preserve">    template: templates/template.tex</w:t>
      </w:r>
      <w:r>
        <w:br/>
      </w:r>
      <w:r>
        <w:rPr>
          <w:rStyle w:val="VerbatimChar"/>
        </w:rPr>
        <w:t xml:space="preserve">documentclass: book</w:t>
      </w:r>
      <w:r>
        <w:br/>
      </w:r>
      <w:r>
        <w:rPr>
          <w:rStyle w:val="VerbatimChar"/>
        </w:rPr>
        <w:t xml:space="preserve">#bibliography: [bibliography/references.bib, bibliography/additional-references.bib]</w:t>
      </w:r>
      <w:r>
        <w:br/>
      </w:r>
      <w:r>
        <w:rPr>
          <w:rStyle w:val="VerbatimChar"/>
        </w:rPr>
        <w:t xml:space="preserve">---</w:t>
      </w:r>
      <w:r>
        <w:br/>
      </w:r>
      <w:r>
        <w:br/>
      </w:r>
      <w:r>
        <w:br/>
      </w:r>
      <w:r>
        <w:br/>
      </w:r>
      <w:r>
        <w:rPr>
          <w:rStyle w:val="VerbatimChar"/>
        </w:rPr>
        <w:t xml:space="preserve">&lt;!-- note that the quote author won't show up when you knit just a single chapter --&gt;</w:t>
      </w:r>
      <w:r>
        <w:br/>
      </w:r>
      <w:r>
        <w:rPr>
          <w:rStyle w:val="VerbatimChar"/>
        </w:rPr>
        <w:t xml:space="preserve">  </w:t>
      </w:r>
      <w:r>
        <w:br/>
      </w:r>
      <w:r>
        <w:br/>
      </w:r>
      <w:r>
        <w:rPr>
          <w:rStyle w:val="VerbatimChar"/>
        </w:rPr>
        <w:t xml:space="preserve"># Training Event Results {#cites-and-refs}</w:t>
      </w:r>
      <w:r>
        <w:br/>
      </w:r>
      <w:r>
        <w:br/>
      </w:r>
      <w:r>
        <w:rPr>
          <w:rStyle w:val="VerbatimChar"/>
        </w:rPr>
        <w:t xml:space="preserve">\chaptermark{Citations and cross-refs}</w:t>
      </w:r>
      <w:r>
        <w:br/>
      </w:r>
      <w:r>
        <w:rPr>
          <w:rStyle w:val="VerbatimChar"/>
        </w:rPr>
        <w:t xml:space="preserve">\minitoc &lt;!-- this will include a mini table of contents--&gt;</w:t>
      </w:r>
      <w:r>
        <w:br/>
      </w:r>
      <w:r>
        <w:br/>
      </w:r>
      <w:r>
        <w:br/>
      </w:r>
      <w:r>
        <w:rPr>
          <w:rStyle w:val="VerbatimChar"/>
        </w:rPr>
        <w:t xml:space="preserve">## CEPEH Training Event C1</w:t>
      </w:r>
      <w:r>
        <w:br/>
      </w:r>
      <w:r>
        <w:br/>
      </w:r>
      <w:r>
        <w:br/>
      </w:r>
      <w:r>
        <w:rPr>
          <w:rStyle w:val="VerbatimChar"/>
        </w:rP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br/>
      </w:r>
      <w:r>
        <w:rPr>
          <w:rStyle w:val="VerbatimChar"/>
        </w:rPr>
        <w:t xml:space="preserve">15 participants were from RISE, AUTH, UoN.</w:t>
      </w:r>
      <w:r>
        <w:br/>
      </w:r>
      <w:r>
        <w:br/>
      </w:r>
      <w:r>
        <w:rPr>
          <w:rStyle w:val="VerbatimChar"/>
        </w:rP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r>
        <w:br/>
      </w:r>
      <w:r>
        <w:br/>
      </w:r>
      <w:r>
        <w:br/>
      </w:r>
      <w:r>
        <w:br/>
      </w:r>
      <w:r>
        <w:rPr>
          <w:rStyle w:val="VerbatimChar"/>
        </w:rPr>
        <w:t xml:space="preserve"> </w:t>
      </w:r>
      <w:r>
        <w:br/>
      </w:r>
      <w:r>
        <w:rPr>
          <w:rStyle w:val="VerbatimChar"/>
        </w:rPr>
        <w:t xml:space="preserve"># Overall Training Events Evalaution</w:t>
      </w:r>
      <w:r>
        <w:br/>
      </w:r>
      <w:r>
        <w:br/>
      </w:r>
      <w:r>
        <w:br/>
      </w:r>
      <w:r>
        <w:rPr>
          <w:rStyle w:val="VerbatimChar"/>
        </w:rPr>
        <w:t xml:space="preserve">Participants were asked to highlight what they liked for each day and how each day can be improved. Findings are described below per day of the training event</w:t>
      </w:r>
      <w:r>
        <w:br/>
      </w:r>
      <w:r>
        <w:br/>
      </w:r>
      <w:r>
        <w:br/>
      </w:r>
      <w:r>
        <w:rPr>
          <w:rStyle w:val="VerbatimChar"/>
        </w:rPr>
        <w:t xml:space="preserve">Day 1  </w:t>
      </w:r>
      <w:r>
        <w:br/>
      </w:r>
      <w:r>
        <w:rPr>
          <w:rStyle w:val="VerbatimChar"/>
        </w:rP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r>
        <w:br/>
      </w:r>
      <w:r>
        <w:br/>
      </w:r>
      <w:r>
        <w:br/>
      </w:r>
      <w:r>
        <w:rPr>
          <w:rStyle w:val="VerbatimChar"/>
        </w:rPr>
        <w:t xml:space="preserve">Day 2</w:t>
      </w:r>
      <w:r>
        <w:br/>
      </w:r>
      <w:r>
        <w:rPr>
          <w:rStyle w:val="VerbatimChar"/>
        </w:rP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r>
        <w:br/>
      </w:r>
      <w:r>
        <w:br/>
      </w:r>
      <w:r>
        <w:br/>
      </w:r>
      <w:r>
        <w:rPr>
          <w:rStyle w:val="VerbatimChar"/>
        </w:rPr>
        <w:t xml:space="preserve">Day3</w:t>
      </w:r>
      <w:r>
        <w:br/>
      </w:r>
      <w:r>
        <w:rPr>
          <w:rStyle w:val="VerbatimChar"/>
        </w:rPr>
        <w:t xml:space="preserve">Participants liked the hands-on activities of the day also enjoyed the creativity of the groups on the online chatbot development tool. As an area of improvement, participants wanted more time on hands on sections.</w:t>
      </w:r>
      <w:r>
        <w:br/>
      </w:r>
      <w:r>
        <w:br/>
      </w:r>
      <w:r>
        <w:br/>
      </w:r>
      <w:r>
        <w:br/>
      </w:r>
      <w:r>
        <w:br/>
      </w:r>
      <w:r>
        <w:br/>
      </w:r>
      <w:r>
        <w:br/>
      </w:r>
      <w:r>
        <w:br/>
      </w:r>
      <w:r>
        <w:br/>
      </w:r>
      <w:r>
        <w:br/>
      </w:r>
      <w:r>
        <w:br/>
      </w:r>
      <w:r>
        <w:rPr>
          <w:rStyle w:val="VerbatimChar"/>
        </w:rPr>
        <w:t xml:space="preserve">## CEPEH Training Event 2</w:t>
      </w:r>
      <w:r>
        <w:br/>
      </w:r>
      <w:r>
        <w:br/>
      </w:r>
      <w:r>
        <w:rPr>
          <w:rStyle w:val="VerbatimChar"/>
        </w:rPr>
        <w:t xml:space="preserve">**Pre-Training Event survey May 9th-13th 2022 Thessaloniki, Greece**</w:t>
      </w:r>
      <w:r>
        <w:br/>
      </w:r>
      <w:r>
        <w:br/>
      </w:r>
      <w:r>
        <w:rPr>
          <w:rStyle w:val="VerbatimChar"/>
        </w:rP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 </w:t>
      </w:r>
      <w:r>
        <w:br/>
      </w:r>
      <w:r>
        <w:br/>
      </w:r>
      <w:r>
        <w:br/>
      </w:r>
      <w:r>
        <w:rPr>
          <w:rStyle w:val="VerbatimChar"/>
        </w:rP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r>
        <w:br/>
      </w:r>
      <w:r>
        <w:br/>
      </w:r>
      <w:r>
        <w:br/>
      </w:r>
      <w:r>
        <w:br/>
      </w:r>
      <w:r>
        <w:rPr>
          <w:rStyle w:val="VerbatimChar"/>
        </w:rPr>
        <w:t xml:space="preserve">There were 77% of participants stated they were novices in experience with chatbots in healthcare and were attending to learn more.  The remaining 23% (7 students) stated they were competent and had limited experience with chatbots in healthcare.</w:t>
      </w:r>
      <w:r>
        <w:br/>
      </w:r>
      <w:r>
        <w:br/>
      </w:r>
      <w:r>
        <w:br/>
      </w:r>
      <w:r>
        <w:rPr>
          <w:rStyle w:val="VerbatimChar"/>
        </w:rP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 </w:t>
      </w:r>
      <w:r>
        <w:br/>
      </w:r>
      <w:r>
        <w:br/>
      </w:r>
      <w:r>
        <w:br/>
      </w:r>
      <w:r>
        <w:br/>
      </w:r>
      <w:r>
        <w:rPr>
          <w:rStyle w:val="VerbatimChar"/>
        </w:rP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r>
        <w:br/>
      </w:r>
      <w:r>
        <w:br/>
      </w:r>
      <w:r>
        <w:br/>
      </w:r>
      <w:r>
        <w:rPr>
          <w:rStyle w:val="VerbatimChar"/>
        </w:rP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 </w:t>
      </w:r>
      <w:r>
        <w:br/>
      </w:r>
      <w:r>
        <w:br/>
      </w:r>
      <w:r>
        <w:br/>
      </w:r>
      <w:r>
        <w:rPr>
          <w:rStyle w:val="VerbatimChar"/>
        </w:rPr>
        <w:t xml:space="preserve">As this was face-to-face, participants were asked about sufficient Covid-19 precautions in place at the facility, 94% agreed with sufficient precautions, two individuals stated no but did not give further information in the additional input box provided.</w:t>
      </w:r>
      <w:r>
        <w:br/>
      </w:r>
      <w:r>
        <w:rPr>
          <w:rStyle w:val="VerbatimChar"/>
        </w:rP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 </w:t>
      </w:r>
      <w:r>
        <w:br/>
      </w:r>
      <w:r>
        <w:br/>
      </w:r>
      <w:r>
        <w:br/>
      </w:r>
      <w:r>
        <w:br/>
      </w:r>
      <w:r>
        <w:rPr>
          <w:rStyle w:val="VerbatimChar"/>
        </w:rPr>
        <w:t xml:space="preserve">The usual way to include citations in an *R Markdown* document is to put references in a plain text file with the extension **.bib**, in **BibTex** format.[^bib-formats]</w:t>
      </w:r>
      <w:r>
        <w:br/>
      </w:r>
      <w:r>
        <w:rPr>
          <w:rStyle w:val="VerbatimChar"/>
        </w:rPr>
        <w:t xml:space="preserve">Then reference the path to this file in **index.Rmd**'s YAML header with `bibliography: example.bib`.</w:t>
      </w:r>
      <w:r>
        <w:br/>
      </w:r>
      <w:r>
        <w:br/>
      </w:r>
      <w:r>
        <w:rPr>
          <w:rStyle w:val="VerbatimChar"/>
        </w:rPr>
        <w:t xml:space="preserve">[^bib-formats]: The bibliography can be in other formats as well, including EndNote (**.enl**) and RIS (**.ris**), see [rmarkdown.rstudio.com/authoring_bibliographies_and_citations](https://rmarkdown.rstudio.com/authoring_bibliographies_and_citations.html).</w:t>
      </w:r>
      <w:r>
        <w:br/>
      </w:r>
      <w:r>
        <w:br/>
      </w:r>
      <w:r>
        <w:rPr>
          <w:rStyle w:val="VerbatimChar"/>
        </w:rPr>
        <w:t xml:space="preserve">Most reference managers can create a .bib file with you references automatically.</w:t>
      </w:r>
      <w:r>
        <w:br/>
      </w:r>
      <w:r>
        <w:rPr>
          <w:rStyle w:val="VerbatimChar"/>
        </w:rPr>
        <w:t xml:space="preserve">However, the **by far** best reference manager to use with *R Markdown* is [Zotero](https://www.zotero.org) with the [Better BibTex plug-in](https://retorque.re/zotero-better-bibtex/), because the `citr` plugin for RStudio (see below) can read references directly from your Zotero library!</w:t>
      </w:r>
      <w:r>
        <w:br/>
      </w:r>
      <w:r>
        <w:br/>
      </w:r>
      <w:r>
        <w:rPr>
          <w:rStyle w:val="VerbatimChar"/>
        </w:rPr>
        <w:t xml:space="preserve">Here is an example of an entry in a **.bib** file:</w:t>
      </w:r>
      <w:r>
        <w:br/>
      </w:r>
      <w:r>
        <w:rPr>
          <w:rStyle w:val="VerbatimChar"/>
        </w:rPr>
        <w:t xml:space="preserve">```bibtex</w:t>
      </w:r>
      <w:r>
        <w:br/>
      </w:r>
      <w:r>
        <w:rPr>
          <w:rStyle w:val="VerbatimChar"/>
        </w:rPr>
        <w:t xml:space="preserve">@article{Shea2014,</w:t>
      </w:r>
      <w:r>
        <w:br/>
      </w:r>
      <w:r>
        <w:rPr>
          <w:rStyle w:val="VerbatimChar"/>
        </w:rPr>
        <w:t xml:space="preserve">  author =        {Shea, Nicholas and Boldt, Annika},</w:t>
      </w:r>
      <w:r>
        <w:br/>
      </w:r>
      <w:r>
        <w:rPr>
          <w:rStyle w:val="VerbatimChar"/>
        </w:rPr>
        <w:t xml:space="preserve">  journal =       {Trends in Cognitive Sciences},</w:t>
      </w:r>
      <w:r>
        <w:br/>
      </w:r>
      <w:r>
        <w:rPr>
          <w:rStyle w:val="VerbatimChar"/>
        </w:rPr>
        <w:t xml:space="preserve">  pages =         {186--193},</w:t>
      </w:r>
      <w:r>
        <w:br/>
      </w:r>
      <w:r>
        <w:rPr>
          <w:rStyle w:val="VerbatimChar"/>
        </w:rPr>
        <w:t xml:space="preserve">  title =         {{Supra-personal cognitive control}},</w:t>
      </w:r>
      <w:r>
        <w:br/>
      </w:r>
      <w:r>
        <w:rPr>
          <w:rStyle w:val="VerbatimChar"/>
        </w:rPr>
        <w:t xml:space="preserve">  volume =        {18},</w:t>
      </w:r>
      <w:r>
        <w:br/>
      </w:r>
      <w:r>
        <w:rPr>
          <w:rStyle w:val="VerbatimChar"/>
        </w:rPr>
        <w:t xml:space="preserve">  year =          {2014},</w:t>
      </w:r>
      <w:r>
        <w:br/>
      </w:r>
      <w:r>
        <w:rPr>
          <w:rStyle w:val="VerbatimChar"/>
        </w:rPr>
        <w:t xml:space="preserve">  doi =           {10.1016/j.tics.2014.01.006},</w:t>
      </w:r>
      <w:r>
        <w:br/>
      </w:r>
      <w:r>
        <w:rPr>
          <w:rStyle w:val="VerbatimChar"/>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End w:id="124"/>
    <w:bookmarkStart w:id="125" w:name="citation-appearance"/>
    <w:p>
      <w:pPr>
        <w:pStyle w:val="Heading3"/>
      </w:pPr>
      <w:r>
        <w:rPr>
          <w:rStyle w:val="SectionNumber"/>
        </w:rPr>
        <w:t xml:space="preserve">5.2.4</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15">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9"/>
        </w:numPr>
        <w:pStyle w:val="Compact"/>
      </w:pPr>
      <w:r>
        <w:t xml:space="preserve">Put author names outside the parenthesis</w:t>
      </w:r>
    </w:p>
    <w:p>
      <w:pPr>
        <w:numPr>
          <w:ilvl w:val="1"/>
          <w:numId w:val="1010"/>
        </w:numPr>
        <w:pStyle w:val="Compact"/>
      </w:pPr>
      <w:r>
        <w:t xml:space="preserve">This:</w:t>
      </w:r>
      <w:r>
        <w:t xml:space="preserve"> </w:t>
      </w:r>
      <w:r>
        <w:rPr>
          <w:rStyle w:val="VerbatimChar"/>
        </w:rPr>
        <w:t xml:space="preserve">@Shea2014 says blah.</w:t>
      </w:r>
    </w:p>
    <w:p>
      <w:pPr>
        <w:numPr>
          <w:ilvl w:val="1"/>
          <w:numId w:val="1010"/>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9"/>
        </w:numPr>
        <w:pStyle w:val="Compact"/>
      </w:pPr>
      <w:r>
        <w:t xml:space="preserve">Include only the citation-year (in parenthesis)</w:t>
      </w:r>
    </w:p>
    <w:p>
      <w:pPr>
        <w:numPr>
          <w:ilvl w:val="1"/>
          <w:numId w:val="1011"/>
        </w:numPr>
        <w:pStyle w:val="Compact"/>
      </w:pPr>
      <w:r>
        <w:t xml:space="preserve">This:</w:t>
      </w:r>
      <w:r>
        <w:t xml:space="preserve"> </w:t>
      </w:r>
      <w:r>
        <w:rPr>
          <w:rStyle w:val="VerbatimChar"/>
        </w:rPr>
        <w:t xml:space="preserve">Shea et al. says blah [-@Shea2014]</w:t>
      </w:r>
    </w:p>
    <w:p>
      <w:pPr>
        <w:numPr>
          <w:ilvl w:val="1"/>
          <w:numId w:val="1011"/>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9"/>
        </w:numPr>
        <w:pStyle w:val="Compact"/>
      </w:pPr>
      <w:r>
        <w:t xml:space="preserve">Add text and page or chapter references to the citation</w:t>
      </w:r>
    </w:p>
    <w:p>
      <w:pPr>
        <w:numPr>
          <w:ilvl w:val="1"/>
          <w:numId w:val="1012"/>
        </w:numPr>
        <w:pStyle w:val="Compact"/>
      </w:pPr>
      <w:r>
        <w:t xml:space="preserve">This:</w:t>
      </w:r>
      <w:r>
        <w:t xml:space="preserve"> </w:t>
      </w:r>
      <w:r>
        <w:rPr>
          <w:rStyle w:val="VerbatimChar"/>
        </w:rPr>
        <w:t xml:space="preserve">[see @Shea2014, pp. 33-35; also @Wu2016, ch. 1]</w:t>
      </w:r>
    </w:p>
    <w:p>
      <w:pPr>
        <w:numPr>
          <w:ilvl w:val="1"/>
          <w:numId w:val="1012"/>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16">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25"/>
    <w:bookmarkStart w:id="126" w:name="Xb1a9a8c7c007b946db78cf5f9d9fbefb566c87b"/>
    <w:p>
      <w:pPr>
        <w:pStyle w:val="Heading3"/>
      </w:pPr>
      <w:r>
        <w:rPr>
          <w:rStyle w:val="SectionNumber"/>
        </w:rPr>
        <w:t xml:space="preserve">5.2.5</w:t>
      </w:r>
      <w:r>
        <w:tab/>
      </w:r>
      <w:r>
        <w:t xml:space="preserve">Insert references easily with RStudio’s Visual Editor</w:t>
      </w:r>
    </w:p>
    <w:p>
      <w:pPr>
        <w:pStyle w:val="FirstParagraph"/>
      </w:pPr>
      <w:r>
        <w:t xml:space="preserve">For an easy way to insert citations, use RStudio’s</w:t>
      </w:r>
      <w:r>
        <w:t xml:space="preserve"> </w:t>
      </w:r>
      <w:hyperlink r:id="rId118">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26"/>
    <w:bookmarkEnd w:id="127"/>
    <w:bookmarkStart w:id="134" w:name="cross-referencing-1"/>
    <w:p>
      <w:pPr>
        <w:pStyle w:val="Heading2"/>
      </w:pPr>
      <w:r>
        <w:rPr>
          <w:rStyle w:val="SectionNumber"/>
        </w:rPr>
        <w:t xml:space="preserve">5.3</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29" w:name="section-references-1"/>
    <w:p>
      <w:pPr>
        <w:pStyle w:val="Heading3"/>
      </w:pPr>
      <w:r>
        <w:rPr>
          <w:rStyle w:val="SectionNumber"/>
        </w:rPr>
        <w:t xml:space="preserve">5.3.1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13"/>
        </w:numPr>
        <w:pStyle w:val="Compact"/>
      </w:pPr>
      <w:r>
        <w:t xml:space="preserve">So if we write</w:t>
      </w:r>
      <w:r>
        <w:t xml:space="preserve"> </w:t>
      </w:r>
      <w:r>
        <w:rPr>
          <w:rStyle w:val="VerbatimChar"/>
        </w:rPr>
        <w:t xml:space="preserve">Remember what we wrote up in [the previous section](#citations)?</w:t>
      </w:r>
    </w:p>
    <w:p>
      <w:pPr>
        <w:numPr>
          <w:ilvl w:val="0"/>
          <w:numId w:val="1013"/>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28" w:name="creating-custom-labels-1"/>
    <w:p>
      <w:pPr>
        <w:pStyle w:val="Heading4"/>
      </w:pPr>
      <w:r>
        <w:rPr>
          <w:rStyle w:val="SectionNumber"/>
        </w:rPr>
        <w:t xml:space="preserve">5.3.1.1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4</w:t>
      </w:r>
      <w:r>
        <w:t xml:space="preserve">.</w:t>
      </w:r>
    </w:p>
    <w:bookmarkEnd w:id="128"/>
    <w:bookmarkEnd w:id="129"/>
    <w:bookmarkStart w:id="130" w:name="figure-image-and-plot-references-1"/>
    <w:p>
      <w:pPr>
        <w:pStyle w:val="Heading3"/>
      </w:pPr>
      <w:r>
        <w:rPr>
          <w:rStyle w:val="SectionNumber"/>
        </w:rPr>
        <w:t xml:space="preserve">5.3.2</w:t>
      </w:r>
      <w:r>
        <w:tab/>
      </w:r>
      <w:r>
        <w:t xml:space="preserve">Figure (image and plot) references</w:t>
      </w:r>
    </w:p>
    <w:p>
      <w:pPr>
        <w:numPr>
          <w:ilvl w:val="0"/>
          <w:numId w:val="1014"/>
        </w:numPr>
        <w:pStyle w:val="Compact"/>
      </w:pPr>
      <w:r>
        <w:t xml:space="preserve">To refer to figures (i.e. images and plots) use the syntax</w:t>
      </w:r>
      <w:r>
        <w:t xml:space="preserve"> </w:t>
      </w:r>
      <w:r>
        <w:rPr>
          <w:rStyle w:val="VerbatimChar"/>
        </w:rPr>
        <w:t xml:space="preserve">\@ref(fig:label)</w:t>
      </w:r>
    </w:p>
    <w:p>
      <w:pPr>
        <w:numPr>
          <w:ilvl w:val="0"/>
          <w:numId w:val="1014"/>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30"/>
    <w:bookmarkStart w:id="131" w:name="table-references-1"/>
    <w:p>
      <w:pPr>
        <w:pStyle w:val="Heading3"/>
      </w:pPr>
      <w:r>
        <w:rPr>
          <w:rStyle w:val="SectionNumber"/>
        </w:rPr>
        <w:t xml:space="preserve">5.3.3</w:t>
      </w:r>
      <w:r>
        <w:tab/>
      </w:r>
      <w:r>
        <w:t xml:space="preserve">Table references</w:t>
      </w:r>
    </w:p>
    <w:p>
      <w:pPr>
        <w:numPr>
          <w:ilvl w:val="0"/>
          <w:numId w:val="1015"/>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131"/>
    <w:bookmarkStart w:id="133" w:name="including-page-numbers"/>
    <w:p>
      <w:pPr>
        <w:pStyle w:val="Heading3"/>
      </w:pPr>
      <w:r>
        <w:rPr>
          <w:rStyle w:val="SectionNumber"/>
        </w:rPr>
        <w:t xml:space="preserve">5.3.4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6"/>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6"/>
        </w:numPr>
        <w:pStyle w:val="Compact"/>
      </w:pPr>
      <w:r>
        <w:t xml:space="preserve">Becomes: Figure</w:t>
      </w:r>
      <w:r>
        <w:t xml:space="preserve"> </w:t>
      </w:r>
      <w:r>
        <w:t xml:space="preserve">??</w:t>
      </w:r>
      <w:r>
        <w:t xml:space="preserve"> </w:t>
      </w:r>
      <w:r>
        <w:t xml:space="preserve">on page</w:t>
      </w:r>
      <w:r>
        <w:t xml:space="preserve"> </w:t>
      </w:r>
    </w:p>
    <w:bookmarkStart w:id="132" w:name="include-page-numbers-only-in-pdf-output"/>
    <w:p>
      <w:pPr>
        <w:pStyle w:val="Heading4"/>
      </w:pPr>
      <w:r>
        <w:rPr>
          <w:rStyle w:val="SectionNumber"/>
        </w:rPr>
        <w:t xml:space="preserve">5.3.4.1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7"/>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7"/>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132"/>
    <w:bookmarkEnd w:id="133"/>
    <w:bookmarkEnd w:id="134"/>
    <w:bookmarkStart w:id="139" w:name="collaborative-writing"/>
    <w:p>
      <w:pPr>
        <w:pStyle w:val="Heading2"/>
      </w:pPr>
      <w:r>
        <w:rPr>
          <w:rStyle w:val="SectionNumber"/>
        </w:rPr>
        <w:t xml:space="preserve">5.4</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135">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136">
        <w:r>
          <w:rPr>
            <w:rStyle w:val="Hyperlink"/>
          </w:rPr>
          <w:t xml:space="preserve">issue #1463</w:t>
        </w:r>
      </w:hyperlink>
      <w:r>
        <w:t xml:space="preserve"> </w:t>
      </w:r>
      <w:r>
        <w:t xml:space="preserve">on GitHub, where</w:t>
      </w:r>
      <w:r>
        <w:t xml:space="preserve"> </w:t>
      </w:r>
      <w:hyperlink r:id="rId137">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138">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39"/>
    <w:bookmarkStart w:id="142" w:name="additional-resources"/>
    <w:p>
      <w:pPr>
        <w:pStyle w:val="Heading2"/>
      </w:pPr>
      <w:r>
        <w:rPr>
          <w:rStyle w:val="SectionNumber"/>
        </w:rPr>
        <w:t xml:space="preserve">5.5</w:t>
      </w:r>
      <w:r>
        <w:tab/>
      </w:r>
      <w:r>
        <w:t xml:space="preserve">Additional resources</w:t>
      </w:r>
    </w:p>
    <w:p>
      <w:pPr>
        <w:numPr>
          <w:ilvl w:val="0"/>
          <w:numId w:val="1018"/>
        </w:numPr>
      </w:pPr>
      <w:r>
        <w:rPr>
          <w:iCs/>
          <w:i/>
        </w:rPr>
        <w:t xml:space="preserve">R Markdown: The Definitive Guide</w:t>
      </w:r>
      <w:r>
        <w:t xml:space="preserve"> </w:t>
      </w:r>
      <w:r>
        <w:t xml:space="preserve">-</w:t>
      </w:r>
      <w:r>
        <w:t xml:space="preserve"> </w:t>
      </w:r>
      <w:hyperlink r:id="rId140">
        <w:r>
          <w:rPr>
            <w:rStyle w:val="Hyperlink"/>
          </w:rPr>
          <w:t xml:space="preserve">https://bookdown.org/yihui/rmarkdown/</w:t>
        </w:r>
      </w:hyperlink>
    </w:p>
    <w:p>
      <w:pPr>
        <w:numPr>
          <w:ilvl w:val="0"/>
          <w:numId w:val="1018"/>
        </w:numPr>
      </w:pPr>
      <w:r>
        <w:rPr>
          <w:iCs/>
          <w:i/>
        </w:rPr>
        <w:t xml:space="preserve">R for Data Science</w:t>
      </w:r>
      <w:r>
        <w:t xml:space="preserve"> </w:t>
      </w:r>
      <w:r>
        <w:t xml:space="preserve">-</w:t>
      </w:r>
      <w:r>
        <w:t xml:space="preserve"> </w:t>
      </w:r>
      <w:hyperlink r:id="rId141">
        <w:r>
          <w:rPr>
            <w:rStyle w:val="Hyperlink"/>
          </w:rPr>
          <w:t xml:space="preserve">https://r4ds.had.co.nz</w:t>
        </w:r>
      </w:hyperlink>
    </w:p>
    <w:bookmarkEnd w:id="142"/>
    <w:bookmarkEnd w:id="143"/>
    <w:bookmarkStart w:id="144" w:name="appendix"/>
    <w:p>
      <w:pPr>
        <w:pStyle w:val="Heading1"/>
      </w:pPr>
      <w:r>
        <w:t xml:space="preserve">Appendix</w:t>
      </w:r>
    </w:p>
    <w:bookmarkEnd w:id="144"/>
    <w:bookmarkStart w:id="145" w:name="appendix-appendix"/>
    <w:p>
      <w:pPr>
        <w:pStyle w:val="Heading1"/>
      </w:pPr>
      <w:r>
        <w:t xml:space="preserve">(APPENDIX) Appendix</w:t>
      </w:r>
    </w:p>
    <w:bookmarkEnd w:id="145"/>
    <w:bookmarkStart w:id="146"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46"/>
    <w:bookmarkStart w:id="147" w:name="the-second-appendix-for-fun"/>
    <w:p>
      <w:pPr>
        <w:pStyle w:val="Heading1"/>
      </w:pPr>
      <w:r>
        <w:rPr>
          <w:rStyle w:val="SectionNumber"/>
        </w:rPr>
        <w:t xml:space="preserve">7</w:t>
      </w:r>
      <w:r>
        <w:tab/>
      </w:r>
      <w:r>
        <w:t xml:space="preserve">The Second Appendix, for Fun</w:t>
      </w:r>
    </w:p>
    <w:bookmarkEnd w:id="147"/>
    <w:bookmarkStart w:id="155" w:name="references"/>
    <w:p>
      <w:pPr>
        <w:pStyle w:val="Heading1"/>
      </w:pPr>
      <w:r>
        <w:t xml:space="preserve">References</w:t>
      </w:r>
    </w:p>
    <w:bookmarkStart w:id="154" w:name="refs"/>
    <w:bookmarkStart w:id="149"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48">
        <w:r>
          <w:rPr>
            <w:rStyle w:val="Hyperlink"/>
          </w:rPr>
          <w:t xml:space="preserve">https://doi.org/10.1177/1071181312561289</w:t>
        </w:r>
      </w:hyperlink>
    </w:p>
    <w:bookmarkEnd w:id="149"/>
    <w:bookmarkStart w:id="150"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50"/>
    <w:bookmarkStart w:id="152"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51">
        <w:r>
          <w:rPr>
            <w:rStyle w:val="Hyperlink"/>
          </w:rPr>
          <w:t xml:space="preserve">https://doi.org/10.1016/j.tics.2014.01.006</w:t>
        </w:r>
      </w:hyperlink>
    </w:p>
    <w:bookmarkEnd w:id="152"/>
    <w:bookmarkStart w:id="153"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53"/>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1">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112">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77" Target="media/rId77.pn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92" Target="media/rId92.png" /><Relationship Type="http://schemas.openxmlformats.org/officeDocument/2006/relationships/image" Id="rId86" Target="media/rId86.png" /><Relationship Type="http://schemas.openxmlformats.org/officeDocument/2006/relationships/image" Id="rId22" Target="media/rId22.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89" Target="media/rId89.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hyperlink" Id="rId61" Target="%3Ca%20href=%22https://dl.acm.org/doi/pdf/10.1145/3335082.3335094?casa_token=rGs2gNvKuLkAAAAA:Cd8Qn3QywYHZGYJzbD5CU1dVFWHPLGzDnmQYue6ix-AcqOkWLa7VN4GuzvfrZR2DhhvEAoZOF_2T" TargetMode="External" /><Relationship Type="http://schemas.openxmlformats.org/officeDocument/2006/relationships/hyperlink" Id="rId55" Target="%3Ca%20href=%22https://www.ulster.ac.uk/research/topic/computer-science/artificial-intelligence/projects/cuq%22" TargetMode="External" /><Relationship Type="http://schemas.openxmlformats.org/officeDocument/2006/relationships/hyperlink" Id="rId56" Target="CUQ-Calculation-Tool.xlsx" TargetMode="External" /><Relationship Type="http://schemas.openxmlformats.org/officeDocument/2006/relationships/hyperlink" Id="rId57" Target="cuq.png" TargetMode="External" /><Relationship Type="http://schemas.openxmlformats.org/officeDocument/2006/relationships/hyperlink" Id="rId137" Target="http://criticmarkup.com" TargetMode="External" /><Relationship Type="http://schemas.openxmlformats.org/officeDocument/2006/relationships/hyperlink" Id="rId140" Target="https://bookdown.org/yihui/rmarkdown/" TargetMode="External" /><Relationship Type="http://schemas.openxmlformats.org/officeDocument/2006/relationships/hyperlink" Id="rId151" Target="https://doi.org/10.1016/j.tics.2014.01.006" TargetMode="External" /><Relationship Type="http://schemas.openxmlformats.org/officeDocument/2006/relationships/hyperlink" Id="rId148" Target="https://doi.org/10.1177/1071181312561289" TargetMode="External" /><Relationship Type="http://schemas.openxmlformats.org/officeDocument/2006/relationships/hyperlink" Id="rId136" Target="https://github.com/rstudio/rmarkdown/issues/1463" TargetMode="External" /><Relationship Type="http://schemas.openxmlformats.org/officeDocument/2006/relationships/hyperlink" Id="rId135" Target="https://livefreeordichotomize.com/2018/09/14/one-year-to-dissertate/" TargetMode="External" /><Relationship Type="http://schemas.openxmlformats.org/officeDocument/2006/relationships/hyperlink" Id="rId115" Target="https://pandoc.org" TargetMode="External" /><Relationship Type="http://schemas.openxmlformats.org/officeDocument/2006/relationships/hyperlink" Id="rId141" Target="https://r4ds.had.co.nz" TargetMode="External" /><Relationship Type="http://schemas.openxmlformats.org/officeDocument/2006/relationships/hyperlink" Id="rId114" Target="https://retorque.re/zotero-better-bibtex/" TargetMode="External" /><Relationship Type="http://schemas.openxmlformats.org/officeDocument/2006/relationships/hyperlink" Id="rId112" Target="https://rmarkdown.rstudio.com/authoring_bibliographies_and_citations.html" TargetMode="External" /><Relationship Type="http://schemas.openxmlformats.org/officeDocument/2006/relationships/hyperlink" Id="rId118" Target="https://rstudio.github.io/visual-markdown-editing/citations.html" TargetMode="External" /><Relationship Type="http://schemas.openxmlformats.org/officeDocument/2006/relationships/hyperlink" Id="rId138" Target="https://www.overleaf.com/" TargetMode="External" /><Relationship Type="http://schemas.openxmlformats.org/officeDocument/2006/relationships/hyperlink" Id="rId113" Target="https://www.zotero.org" TargetMode="External" /><Relationship Type="http://schemas.openxmlformats.org/officeDocument/2006/relationships/hyperlink" Id="rId116"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1" Target="%3Ca%20href=%22https://dl.acm.org/doi/pdf/10.1145/3335082.3335094?casa_token=rGs2gNvKuLkAAAAA:Cd8Qn3QywYHZGYJzbD5CU1dVFWHPLGzDnmQYue6ix-AcqOkWLa7VN4GuzvfrZR2DhhvEAoZOF_2T" TargetMode="External" /><Relationship Type="http://schemas.openxmlformats.org/officeDocument/2006/relationships/hyperlink" Id="rId55" Target="%3Ca%20href=%22https://www.ulster.ac.uk/research/topic/computer-science/artificial-intelligence/projects/cuq%22" TargetMode="External" /><Relationship Type="http://schemas.openxmlformats.org/officeDocument/2006/relationships/hyperlink" Id="rId56" Target="CUQ-Calculation-Tool.xlsx" TargetMode="External" /><Relationship Type="http://schemas.openxmlformats.org/officeDocument/2006/relationships/hyperlink" Id="rId57" Target="cuq.png" TargetMode="External" /><Relationship Type="http://schemas.openxmlformats.org/officeDocument/2006/relationships/hyperlink" Id="rId137" Target="http://criticmarkup.com" TargetMode="External" /><Relationship Type="http://schemas.openxmlformats.org/officeDocument/2006/relationships/hyperlink" Id="rId140" Target="https://bookdown.org/yihui/rmarkdown/" TargetMode="External" /><Relationship Type="http://schemas.openxmlformats.org/officeDocument/2006/relationships/hyperlink" Id="rId151" Target="https://doi.org/10.1016/j.tics.2014.01.006" TargetMode="External" /><Relationship Type="http://schemas.openxmlformats.org/officeDocument/2006/relationships/hyperlink" Id="rId148" Target="https://doi.org/10.1177/1071181312561289" TargetMode="External" /><Relationship Type="http://schemas.openxmlformats.org/officeDocument/2006/relationships/hyperlink" Id="rId136" Target="https://github.com/rstudio/rmarkdown/issues/1463" TargetMode="External" /><Relationship Type="http://schemas.openxmlformats.org/officeDocument/2006/relationships/hyperlink" Id="rId135" Target="https://livefreeordichotomize.com/2018/09/14/one-year-to-dissertate/" TargetMode="External" /><Relationship Type="http://schemas.openxmlformats.org/officeDocument/2006/relationships/hyperlink" Id="rId115" Target="https://pandoc.org" TargetMode="External" /><Relationship Type="http://schemas.openxmlformats.org/officeDocument/2006/relationships/hyperlink" Id="rId141" Target="https://r4ds.had.co.nz" TargetMode="External" /><Relationship Type="http://schemas.openxmlformats.org/officeDocument/2006/relationships/hyperlink" Id="rId114" Target="https://retorque.re/zotero-better-bibtex/" TargetMode="External" /><Relationship Type="http://schemas.openxmlformats.org/officeDocument/2006/relationships/hyperlink" Id="rId112" Target="https://rmarkdown.rstudio.com/authoring_bibliographies_and_citations.html" TargetMode="External" /><Relationship Type="http://schemas.openxmlformats.org/officeDocument/2006/relationships/hyperlink" Id="rId118" Target="https://rstudio.github.io/visual-markdown-editing/citations.html" TargetMode="External" /><Relationship Type="http://schemas.openxmlformats.org/officeDocument/2006/relationships/hyperlink" Id="rId138" Target="https://www.overleaf.com/" TargetMode="External" /><Relationship Type="http://schemas.openxmlformats.org/officeDocument/2006/relationships/hyperlink" Id="rId113" Target="https://www.zotero.org" TargetMode="External" /><Relationship Type="http://schemas.openxmlformats.org/officeDocument/2006/relationships/hyperlink" Id="rId11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2022-12-27T23:32:11Z</dcterms:created>
  <dcterms:modified xsi:type="dcterms:W3CDTF">2022-12-27T23:32:11Z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