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11.png" ContentType="image/png"/>
  <Override PartName="/word/media/rId116.png" ContentType="image/png"/>
  <Override PartName="/word/media/rId121.png" ContentType="image/png"/>
  <Override PartName="/word/media/rId38.png" ContentType="image/png"/>
  <Override PartName="/word/media/rId60.jpg" ContentType="image/jpeg"/>
  <Override PartName="/word/media/rId8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evlauation.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5"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 Chatbot Usabilty Questionanire (CUQ)</w:t>
      </w:r>
    </w:p>
    <w:bookmarkStart w:id="41" w:name="cuq-calcuation-tool"/>
    <w:p>
      <w:pPr>
        <w:pStyle w:val="Heading3"/>
      </w:pPr>
      <w:r>
        <w:rPr>
          <w:rStyle w:val="SectionNumber"/>
        </w:rPr>
        <w:t xml:space="preserve">2.0.1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Start w:id="42" w:name="system-usability-scale-sus-scores"/>
    <w:p>
      <w:pPr>
        <w:pStyle w:val="Heading2"/>
      </w:pPr>
      <w:r>
        <w:rPr>
          <w:rStyle w:val="SectionNumber"/>
        </w:rPr>
        <w:t xml:space="preserve">2.1</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p>
      <w:pPr>
        <w:pStyle w:val="BodyText"/>
      </w:pPr>
      <w:r>
        <w:t xml:space="preserve">if you don’t like boring tables, here is the same data in a graph!</w:t>
      </w:r>
    </w:p>
    <w:bookmarkEnd w:id="42"/>
    <w:bookmarkStart w:id="44" w:name="technology-acceptance-model"/>
    <w:p>
      <w:pPr>
        <w:pStyle w:val="Heading2"/>
      </w:pPr>
      <w:r>
        <w:rPr>
          <w:rStyle w:val="SectionNumber"/>
        </w:rPr>
        <w:t xml:space="preserve">2.2</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3" w:name="other-findings"/>
    <w:p>
      <w:pPr>
        <w:pStyle w:val="Heading3"/>
      </w:pPr>
      <w:r>
        <w:rPr>
          <w:rStyle w:val="SectionNumber"/>
        </w:rPr>
        <w:t xml:space="preserve">2.2.1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3"/>
    <w:bookmarkEnd w:id="44"/>
    <w:bookmarkEnd w:id="45"/>
    <w:bookmarkStart w:id="47" w:name="cites-and-refs"/>
    <w:p>
      <w:pPr>
        <w:pStyle w:val="Heading1"/>
      </w:pPr>
      <w:r>
        <w:rPr>
          <w:rStyle w:val="SectionNumber"/>
        </w:rPr>
        <w:t xml:space="preserve">3</w:t>
      </w:r>
      <w:r>
        <w:tab/>
      </w:r>
      <w:r>
        <w:t xml:space="preserve">Training Event Results</w:t>
      </w:r>
    </w:p>
    <w:p>
      <w:pPr>
        <w:pStyle w:val="FirstParagraph"/>
      </w:pPr>
    </w:p>
    <w:bookmarkStart w:id="4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6"/>
    <w:bookmarkEnd w:id="47"/>
    <w:bookmarkStart w:id="76"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0">
        <w:r>
          <w:rPr>
            <w:rStyle w:val="Hyperlink"/>
          </w:rPr>
          <w:t xml:space="preserve">Zotero</w:t>
        </w:r>
      </w:hyperlink>
      <w:r>
        <w:t xml:space="preserve"> </w:t>
      </w:r>
      <w:r>
        <w:t xml:space="preserve">with the</w:t>
      </w:r>
      <w:r>
        <w:t xml:space="preserve"> </w:t>
      </w:r>
      <w:hyperlink r:id="rId5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4"/>
    <w:bookmarkStart w:id="5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6"/>
    <w:bookmarkEnd w:id="57"/>
    <w:bookmarkStart w:id="67"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8"/>
    <w:bookmarkEnd w:id="59"/>
    <w:bookmarkStart w:id="63"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1" name="Picture"/>
            <a:graphic>
              <a:graphicData uri="http://schemas.openxmlformats.org/drawingml/2006/picture">
                <pic:pic>
                  <pic:nvPicPr>
                    <pic:cNvPr descr="figures/sample-content/captain.jpeg" id="62" name="Picture"/>
                    <pic:cNvPicPr>
                      <a:picLocks noChangeArrowheads="1" noChangeAspect="1"/>
                    </pic:cNvPicPr>
                  </pic:nvPicPr>
                  <pic:blipFill>
                    <a:blip r:embed="rId60"/>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3"/>
    <w:bookmarkStart w:id="64"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4"/>
    <w:bookmarkStart w:id="66"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5"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5"/>
    <w:bookmarkEnd w:id="66"/>
    <w:bookmarkEnd w:id="67"/>
    <w:bookmarkStart w:id="72"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9">
        <w:r>
          <w:rPr>
            <w:rStyle w:val="Hyperlink"/>
          </w:rPr>
          <w:t xml:space="preserve">issue #1463</w:t>
        </w:r>
      </w:hyperlink>
      <w:r>
        <w:t xml:space="preserve"> </w:t>
      </w:r>
      <w:r>
        <w:t xml:space="preserve">on GitHub, where</w:t>
      </w:r>
      <w:r>
        <w:t xml:space="preserve"> </w:t>
      </w:r>
      <w:hyperlink r:id="rId7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2"/>
    <w:bookmarkStart w:id="75"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3">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4">
        <w:r>
          <w:rPr>
            <w:rStyle w:val="Hyperlink"/>
          </w:rPr>
          <w:t xml:space="preserve">https://r4ds.had.co.nz</w:t>
        </w:r>
      </w:hyperlink>
    </w:p>
    <w:bookmarkEnd w:id="75"/>
    <w:bookmarkEnd w:id="76"/>
    <w:bookmarkStart w:id="86"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5"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7"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7"/>
    <w:bookmarkStart w:id="79"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8">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9"/>
    <w:bookmarkStart w:id="80"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0"/>
    <w:bookmarkStart w:id="84"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2" name="Picture"/>
            <a:graphic>
              <a:graphicData uri="http://schemas.openxmlformats.org/drawingml/2006/picture">
                <pic:pic>
                  <pic:nvPicPr>
                    <pic:cNvPr descr="figures/sample-content/latex_font_sizes.png" id="83" name="Picture"/>
                    <pic:cNvPicPr>
                      <a:picLocks noChangeArrowheads="1" noChangeAspect="1"/>
                    </pic:cNvPicPr>
                  </pic:nvPicPr>
                  <pic:blipFill>
                    <a:blip r:embed="rId81"/>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4"/>
    <w:bookmarkEnd w:id="85"/>
    <w:bookmarkEnd w:id="86"/>
    <w:bookmarkStart w:id="126" w:name="X51bc91f4e64bb84a1de0d4ebcf29499e1120650"/>
    <w:p>
      <w:pPr>
        <w:pStyle w:val="Heading1"/>
      </w:pPr>
      <w:r>
        <w:rPr>
          <w:rStyle w:val="SectionNumber"/>
        </w:rPr>
        <w:t xml:space="preserve">6</w:t>
      </w:r>
      <w:r>
        <w:tab/>
      </w:r>
      <w:r>
        <w:t xml:space="preserve">Text Mining, Natural Language Processing, and Sentiment Analysis</w:t>
      </w:r>
    </w:p>
    <w:bookmarkStart w:id="89" w:name="reading-in-texts"/>
    <w:p>
      <w:pPr>
        <w:pStyle w:val="Heading2"/>
      </w:pPr>
      <w:r>
        <w:rPr>
          <w:rStyle w:val="SectionNumber"/>
        </w:rPr>
        <w:t xml:space="preserve">6.1</w:t>
      </w:r>
      <w:r>
        <w:tab/>
      </w:r>
      <w:r>
        <w:t xml:space="preserve">1 Reading in texts</w:t>
      </w:r>
    </w:p>
    <w:bookmarkStart w:id="87"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7"/>
    <w:bookmarkStart w:id="88"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8"/>
    <w:bookmarkEnd w:id="89"/>
    <w:bookmarkStart w:id="93"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0"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0"/>
    <w:bookmarkStart w:id="91"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1"/>
    <w:bookmarkStart w:id="92"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2"/>
    <w:bookmarkEnd w:id="93"/>
    <w:bookmarkStart w:id="120" w:name="analysing-frequencies"/>
    <w:p>
      <w:pPr>
        <w:pStyle w:val="Heading2"/>
      </w:pPr>
      <w:r>
        <w:rPr>
          <w:rStyle w:val="SectionNumber"/>
        </w:rPr>
        <w:t xml:space="preserve">6.3</w:t>
      </w:r>
      <w:r>
        <w:tab/>
      </w:r>
      <w:r>
        <w:t xml:space="preserve">3 Analysing frequencies</w:t>
      </w:r>
    </w:p>
    <w:bookmarkStart w:id="110"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09"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5" name="Picture"/>
            <a:graphic>
              <a:graphicData uri="http://schemas.openxmlformats.org/drawingml/2006/picture">
                <pic:pic>
                  <pic:nvPicPr>
                    <pic:cNvPr descr="_main_files/figure-docx/unnamed-chunk-16-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8" name="Picture"/>
            <a:graphic>
              <a:graphicData uri="http://schemas.openxmlformats.org/drawingml/2006/picture">
                <pic:pic>
                  <pic:nvPicPr>
                    <pic:cNvPr descr="_main_files/figure-docx/unnamed-chunk-1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18-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4" name="Picture"/>
            <a:graphic>
              <a:graphicData uri="http://schemas.openxmlformats.org/drawingml/2006/picture">
                <pic:pic>
                  <pic:nvPicPr>
                    <pic:cNvPr descr="_main_files/figure-docx/unnamed-chunk-1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7" name="Picture"/>
            <a:graphic>
              <a:graphicData uri="http://schemas.openxmlformats.org/drawingml/2006/picture">
                <pic:pic>
                  <pic:nvPicPr>
                    <pic:cNvPr descr="_main_files/figure-docx/unnamed-chunk-20-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5"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4"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2" name="Picture"/>
            <a:graphic>
              <a:graphicData uri="http://schemas.openxmlformats.org/drawingml/2006/picture">
                <pic:pic>
                  <pic:nvPicPr>
                    <pic:cNvPr descr="_main_files/figure-docx/unnamed-chunk-2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9"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7" name="Picture"/>
            <a:graphic>
              <a:graphicData uri="http://schemas.openxmlformats.org/drawingml/2006/picture">
                <pic:pic>
                  <pic:nvPicPr>
                    <pic:cNvPr descr="_main_files/figure-docx/unnamed-chunk-23-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Start w:id="125"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4"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2" name="Picture"/>
            <a:graphic>
              <a:graphicData uri="http://schemas.openxmlformats.org/drawingml/2006/picture">
                <pic:pic>
                  <pic:nvPicPr>
                    <pic:cNvPr descr="_main_files/figure-docx/unnamed-chunk-25-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End w:id="125"/>
    <w:bookmarkEnd w:id="126"/>
    <w:bookmarkStart w:id="127"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7"/>
    <w:bookmarkStart w:id="129" w:name="appendix"/>
    <w:p>
      <w:pPr>
        <w:pStyle w:val="Heading1"/>
      </w:pPr>
      <w:r>
        <w:t xml:space="preserve">Appendix</w:t>
      </w:r>
    </w:p>
    <w:bookmarkStart w:id="128"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8"/>
    <w:bookmarkEnd w:id="129"/>
    <w:bookmarkStart w:id="130" w:name="appendix-appendix"/>
    <w:p>
      <w:pPr>
        <w:pStyle w:val="Heading1"/>
      </w:pPr>
      <w:r>
        <w:t xml:space="preserve">(APPENDIX) Appendix</w:t>
      </w:r>
    </w:p>
    <w:bookmarkEnd w:id="130"/>
    <w:bookmarkStart w:id="13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1"/>
    <w:bookmarkStart w:id="132" w:name="the-second-appendix-for-fun"/>
    <w:p>
      <w:pPr>
        <w:pStyle w:val="Heading1"/>
      </w:pPr>
      <w:r>
        <w:rPr>
          <w:rStyle w:val="SectionNumber"/>
        </w:rPr>
        <w:t xml:space="preserve">9</w:t>
      </w:r>
      <w:r>
        <w:tab/>
      </w:r>
      <w:r>
        <w:t xml:space="preserve">The Second Appendix, for Fun</w:t>
      </w:r>
    </w:p>
    <w:bookmarkEnd w:id="132"/>
    <w:bookmarkStart w:id="140" w:name="references"/>
    <w:p>
      <w:pPr>
        <w:pStyle w:val="Heading1"/>
      </w:pPr>
      <w:r>
        <w:t xml:space="preserve">References</w:t>
      </w:r>
    </w:p>
    <w:bookmarkStart w:id="139" w:name="refs"/>
    <w:bookmarkStart w:id="13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3">
        <w:r>
          <w:rPr>
            <w:rStyle w:val="Hyperlink"/>
          </w:rPr>
          <w:t xml:space="preserve">https://doi.org/10.1177/1071181312561289</w:t>
        </w:r>
      </w:hyperlink>
    </w:p>
    <w:bookmarkEnd w:id="134"/>
    <w:bookmarkStart w:id="13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5"/>
    <w:bookmarkStart w:id="13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6">
        <w:r>
          <w:rPr>
            <w:rStyle w:val="Hyperlink"/>
          </w:rPr>
          <w:t xml:space="preserve">https://doi.org/10.1016/j.tics.2014.01.006</w:t>
        </w:r>
      </w:hyperlink>
    </w:p>
    <w:bookmarkEnd w:id="137"/>
    <w:bookmarkStart w:id="13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38" Target="media/rId38.png" /><Relationship Type="http://schemas.openxmlformats.org/officeDocument/2006/relationships/image" Id="rId60" Target="media/rId60.jp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36" Target="https://doi.org/10.1016/j.tics.2014.01.006" TargetMode="External" /><Relationship Type="http://schemas.openxmlformats.org/officeDocument/2006/relationships/hyperlink" Id="rId133"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36" Target="https://doi.org/10.1016/j.tics.2014.01.006" TargetMode="External" /><Relationship Type="http://schemas.openxmlformats.org/officeDocument/2006/relationships/hyperlink" Id="rId133"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2022-12-24T23:31:13Z</dcterms:created>
  <dcterms:modified xsi:type="dcterms:W3CDTF">2022-12-24T23:31:13Z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