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**Background:** The rapid proliferation of large language models (LLMs) in healthcare education since the release of ChatGPT in November 2022 has created an urgent need for systematic landscape mapping. No comprehensive bibliometric analysis has examined the intersection of LLMs, healthcare simulation, and non-technical skills (NTS) training. This study addresses that gap using exclusively free, open-access data sources to ensure full reproducibility.</w:t>
      </w:r>
    </w:p>
    <w:p>
      <w:r>
        <w:t>**Methods:** Seven electronic databases (OpenAlex, PubMed, Europe PMC, Crossref, Semantic Scholar, CORE, and DOAJ) were systematically searched using 35 query strategies across a three-tier framework: Tier 1 (LLM + medical), Tier 2 (+ simulation), and Tier 3 (+ non-technical skills). A two-stage screening process combined automated keyword pre-filtering with AI-assisted context screening, producing a three-level corpus: an extended corpus of 7,893 papers (all LLM + healthcare), a primary corpus of 3,587 papers (adding simulation terms), and a core corpus of 3,000 papers (high/medium confidence, Tier 2/3 only) used for the main bibliometric analysis. Analyses included publication trends, Lotka's and Bradford's laws, Callon's strategic thematic diagram, citation analysis, geographic distribution, and NTS domain classification. The complete pipeline is publicly available on GitHub for six-monthly reproduction.</w:t>
      </w:r>
    </w:p>
    <w:p>
      <w:r>
        <w:t>**Results:** From 100,277 initial records across seven databases, 86,635 unique papers were identified after three-stage deduplication (13.6% overlap rate). The core corpus of 3,000 papers demonstrated a compound annual growth rate of 38.0%, with 93.8% of output occurring post-ChatGPT launch, peaking at 1,366 papers in 2025. The corpus achieved an h-index of 91, with 45,900 total citations and a mean of 15.30 per paper. Author productivity closely followed Lotka's law (beta = 2.602, R-squared = 0.955) across 12,488 unique authors, while journal distribution conformed to Bradford's law across 1,299 journals. Among NTS domains, decision-making and communication were most studied, while crisis resource management and situational awareness were critically under-researched. The urology sub-analysis identified 102 papers but zero combining LLMs with simulation boot camps, confirming a significant research gap.</w:t>
      </w:r>
    </w:p>
    <w:p>
      <w:r>
        <w:t>**Conclusions:** This bibliometric analysis reveals a rapidly expanding but unevenly distributed research landscape. The field is characterised by proprietary model dominance, geographic concentration in the United States and China, and significant gaps in NTS domains critical to patient safety. The replicable, open-access pipeline presented here democratises bibliometric analysis for independent researchers and enables ongoing landscape monitoring as this rapidly evolving field matures.</w:t>
      </w:r>
    </w:p>
    <w:p>
      <w:r>
        <w:t>**Keywords:** bibliometric analysis; large language models; healthcare simulation; non-technical skills; medical education; open access</w:t>
      </w:r>
    </w:p>
    <w:p>
      <w:pPr>
        <w:pStyle w:val="Heading1"/>
      </w:pPr>
      <w:r>
        <w:t>1. Introduction</w:t>
      </w:r>
    </w:p>
    <w:p>
      <w:r>
        <w:t>The release of ChatGPT in November 2022 marked an inflection point in the adoption of artificial intelligence across virtually every domain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(Thirunavukarasu et al., 2023; Lee et al., 2023). The speed of this transformation has been extraordinary: in the three years following the launch of ChatGPT, the volume of scholarly output examining LLMs in healthcare contexts has increased substantially, with a compound annual growth rate of 38.0% (present study). Yet the very pace of this expansion poses a fundamental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(Donthu et al., 2021).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invisible to narrative review alone (Aria and Cuccurullo, 2017; Cobo et al., 2011). Bibliometric methods are particularly well suited to rapidly expanding fields where the literature is too voluminous for traditional synthesis yet too immature for definitive systematic review. The intersection of LLMs and healthcare simulation represents precisely such a field.</w:t>
      </w:r>
    </w:p>
    <w:p>
      <w:pPr>
        <w:pStyle w:val="Heading2"/>
      </w:pPr>
      <w:r>
        <w:t>1.1 Background</w:t>
      </w:r>
    </w:p>
    <w:p>
      <w:r>
        <w:t>Healthcare simulation has been a cornerstone of medical education for over two decades, providing learners with opportunities to practise clinical skills in controlled, low-risk environments (Issenberg et al., 2005; McGaghie et al., 2010).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even serve as intelligent tutoring agents capable of adapting to individual learner performance (Han et al., 2024). Early applications have demonstrated the capacity of models such as GPT-4 and Claude to pass medical licensing examinations, generate clinically plausible case vignettes, and role-play standardised patients with sufficient fidelity to support meaningful educational encounters (Kung et al., 2023; Ayers et al., 2023). These capabilities have prompted considerable enthusiasm but also legitimate concern regarding accuracy, bias, hallucination, and the pedagogical implications of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(Flin et al., 2008; Fletcher et al., 2003). These competencies are widely recognised as critical contributors to patient safety, with failures in NTS implicated in a significant proportion of adverse events and near-misses across healthcare settings (Reason, 2000; Catchpole et al., 2008).</w:t>
      </w:r>
    </w:p>
    <w:p>
      <w:r>
        <w:t>Simulation-based training is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(Salas et al., 2008; Cook et al., 2011).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empirically underdeveloped. An AI-generated simulated patient could provide unlimited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no comprehensive mapping of the research landscape currently exists.</w:t>
      </w:r>
    </w:p>
    <w:p>
      <w:pPr>
        <w:pStyle w:val="Heading2"/>
      </w:pPr>
      <w:r>
        <w:t>1.3 Rationale and Objectives</w:t>
      </w:r>
    </w:p>
    <w:p>
      <w:r>
        <w:t>This study was motivated by three observations. First, the research on LLMs in healthcare simulation is growing at a rate that outstrips the capacity of traditional narrative or systematic reviews to maintain currency. A bibliometric approach enables quantitative landscape mapping at a scale that is both comprehensive and reproducible. Second, despite growing interest in the intersection of AI and medical education, no published bibliometric analysis has specifically examined LLMs in the context of healthcare simulation for non-technical skills training. This represents a significant gap, given the centrality of NTS to patient safety and the potential for AI to transform how these skills are taught and assessed. Third, existing bibliometric studies in medical education overwhelmingly rely on proprietary databases such as Web of Science and Scopus, creating a paradox in which the tools for understanding the research landscape are themselves locked behind institutional paywalls. We argue that bibliometric infrastructure should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not only rigorous but practically actionable for educators, simulation centres, and curriculum designers.</w:t>
      </w:r>
    </w:p>
    <w:p>
      <w:r>
        <w:t>To address these gaps, this study employs a three-tier analytical framework with a three-level corpus structure. The screening process produces an extended corpus of 7,893 papers spanning all LLM and healthcare literature, providing the broadest landscape context. Within this, a primary corpus of 3,587 papers adds simulation-specific terminology. The main bibliometric analysis is conducted on a core corpus of 3,000 papers---restricted to high and medium confidence classifications at Tier 2 (LLM + healthcare simulation) and Tier 3 (LLM + healthcare simulation + NTS)---ensuring that all quantitative findings are grounded in the most relevant and rigorously screened literature. This layered approach provides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w:t>
      </w:r>
    </w:p>
    <w:p>
      <w:pPr>
        <w:pStyle w:val="ListNumber"/>
      </w:pPr>
      <w:r>
        <w:t>To identify the dominant research themes, intellectual clusters, and emergent topics through keyword co-occurrence analysis and Callon's strategic thematic diagram.</w:t>
      </w:r>
    </w:p>
    <w:p>
      <w:pPr>
        <w:pStyle w:val="ListNumber"/>
      </w:pPr>
      <w:r>
        <w:t>To analyse the distribution of research across non-technical skills domains---including communication, teamwork, leadership, decision-making, situational awareness, stress management, and crisis resource management---identifying which competencies are well served by existing research and which represent critical gaps.</w:t>
      </w:r>
    </w:p>
    <w:p>
      <w:pPr>
        <w:pStyle w:val="ListNumber"/>
      </w:pPr>
      <w:r>
        <w:t>To provide a fully replicable, open-access bibliometric pipeline, built exclusively on free data sources, that any researcher can execute to reproduce or update this analysis without requiring institutional database subscriptions.</w:t>
      </w:r>
    </w:p>
    <w:p>
      <w:pPr>
        <w:pStyle w:val="Heading1"/>
      </w:pPr>
      <w:r>
        <w:t>2. Methods</w:t>
      </w:r>
    </w:p>
    <w:p>
      <w:pPr>
        <w:pStyle w:val="Heading2"/>
      </w:pPr>
      <w:r>
        <w:t>2.1 Study Design</w:t>
      </w:r>
    </w:p>
    <w:p>
      <w:r>
        <w:t>This study employed a bibliometric analysis following established methodological frameworks (Donthu et al., 2021; Aria and Cuccurullo, 2017). The design was governed by two foundational principles: analytical rigour consistent with bibliometric best practice, and complete reproducibility using exclusively free, open-access data sources. The entire pipeline---data collection, processing, screening, and analysis---is publicly available on GitHub, enabling any researcher to replicate or update the study. Reporting followed PRISMA 2020 guidelines (Page et al., 2021), adapted for bibliometric analysis, and the PRISMA-trAIce checklist for transparent reporting of AI use in evidence synthesis (Holst et al., 2025).</w:t>
      </w:r>
    </w:p>
    <w:p>
      <w:pPr>
        <w:pStyle w:val="Heading2"/>
      </w:pPr>
      <w:r>
        <w:t>2.2 Data Sources and Search Strategy</w:t>
      </w:r>
    </w:p>
    <w:p>
      <w:r>
        <w:t>Seven electronic databases were systematically searched: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in favour of this open-access approach; the implications are addressed in the limitations.</w:t>
      </w:r>
    </w:p>
    <w:p>
      <w:r>
        <w:t>A three-tier search strategy was employed to capture the full breadth of the literature while permitting analysis at increasing specificity:</w:t>
      </w:r>
    </w:p>
    <w:p>
      <w:pPr>
        <w:pStyle w:val="ListBullet"/>
      </w:pPr>
      <w:r>
        <w:t>**Tier 1 (broadest):**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The remaining databases used keyword-based search adapted to their respective API capabilities. The complete query strings are provided in Supplementary Appendix A. The search was restricted to English-language publications from January 2020 to March 2026, with the start date selected to capture the pre-LLM baseline period prior to GPT-3 (June 2020) and ChatGPT (November 2022).</w:t>
      </w:r>
    </w:p>
    <w:p>
      <w:pPr>
        <w:pStyle w:val="Heading2"/>
      </w:pPr>
      <w:r>
        <w:t>2.3 Data Processing</w:t>
      </w:r>
    </w:p>
    <w:p>
      <w:r>
        <w:t>Records from the seven databases were normalised to a common schema encompassing title, authors, year, DOI, abstract, journal,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 fragment matching. When duplicates were identified, a source priority hierarchy (PubMed, OpenAlex, Europe PMC, Crossref, Semantic Scholar, CORE, DOAJ) determined which record was retained. The initial search yielded 100,277 records. After removing 13,642 duplicates (9,447 DOI-matched, 4,127 title-matched, 68 author-year-matched), 86,635 unique records remained (13.6% deduplication rate).</w:t>
      </w:r>
    </w:p>
    <w:p>
      <w:pPr>
        <w:pStyle w:val="Heading2"/>
      </w:pPr>
      <w:r>
        <w:t>2.4 Screening Process</w:t>
      </w:r>
    </w:p>
    <w:p>
      <w:pPr>
        <w:pStyle w:val="Heading3"/>
      </w:pPr>
      <w:r>
        <w:t>2.4.1 Stage 1: Keyword Pre-filter</w:t>
      </w:r>
    </w:p>
    <w:p>
      <w:r>
        <w:t>Automated keyword matching across four categories (LLM, simulation, NTS, and medical terms) classified each paper as a definite include (at least five cross-category matches with at least one LLM term), definite exclude (zero LLM terms), or uncertain. This yielded 3,648 definite includes, 73,990 definite excludes, and 8,997 uncertain cases.</w:t>
      </w:r>
    </w:p>
    <w:p>
      <w:pPr>
        <w:pStyle w:val="Heading3"/>
      </w:pPr>
      <w:r>
        <w:t>2.4.2 Stage 2: AI-Assisted Screening</w:t>
      </w:r>
    </w:p>
    <w:p>
      <w:r>
        <w:t>Uncertain papers were screened using Claude (Anthropic, claude-sonnet-4-20250514), following PRISMA-trAIce (Holst et al., 2025) and RAISE recommendations (Version 2, 2025). This approach aligns with methodological guidance permitting AI as a second reviewer (Flemyng et al., 2025; Gartlehner et al., 2025) and has been validated in studies demonstrating human-comparable screening accuracy (Matsui et al., 2024; Sanghera et al., 2025; Insuk et al., 2025). Each paper's title and abstract were assessed against the inclusion criteria, returning a decision, confidence level, and rationale. Papers were processed in batches of ten. Complete prompts and model parameters are documented in the project repository.</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included and excluded papers. Cohen's kappa was computed for all pairwise comparisons, following the benchmarks of Hanegraaf et al. (2024), who reported a mean human-human kappa of 0.82 for abstract screening. The human reviewer retained final authority in all disagreements.</w:t>
      </w:r>
    </w:p>
    <w:p>
      <w:r>
        <w:t>Following screening, the results were organised into a three-level corpus structure designed to provide transparency in the narrowing process while ensuring analytical rigour:</w:t>
      </w:r>
    </w:p>
    <w:p>
      <w:pPr>
        <w:pStyle w:val="ListBullet"/>
      </w:pPr>
      <w:r>
        <w:t>**Extended corpus (7,893 papers):** All papers meeting inclusion criteria across all tiers---4,308 at Tier 1 (LLMs in healthcare), 1,969 at Tier 2 (LLMs in healthcare simulation), and 1,309 at Tier 3 (LLMs in healthcare simulation and NTS), with 307 classified outside the tier structure. This broadest level provides landscape context.</w:t>
      </w:r>
    </w:p>
    <w:p>
      <w:pPr>
        <w:pStyle w:val="ListBullet"/>
      </w:pPr>
      <w:r>
        <w:t>**Primary corpus (3,587 papers):** Papers from the extended corpus that contain explicit simulation-related terminology, combining Tier 2 and Tier 3 papers with Tier 1 papers that include simulation terms.</w:t>
      </w:r>
    </w:p>
    <w:p>
      <w:pPr>
        <w:pStyle w:val="ListBullet"/>
      </w:pPr>
      <w:r>
        <w:t>**Core corpus (3,000 papers):** The primary analysis dataset, restricted to papers classified at Tier 2 or Tier 3 with high or medium confidence ratings from the screening process. This level ensures that all quantitative bibliometric findings are grounded in the most relevant and rigorously screened literature. The core corpus comprises 1,725 papers at Tier 2 (57.5%) and 1,275 at Tier 3 (42.5%).</w:t>
      </w:r>
    </w:p>
    <w:p>
      <w:r>
        <w:t>All bibliometric analyses reported in the Results section are based on the core corpus of 3,000 papers unless otherwise specified. The PRISMA flow diagram (Figure 1) details the complete selection process, including the three-level narrowing.</w:t>
      </w:r>
    </w:p>
    <w:p>
      <w:pPr>
        <w:pStyle w:val="Heading2"/>
      </w:pPr>
      <w:r>
        <w:t>2.5 Inclusion and Exclusion Criteria</w:t>
      </w:r>
    </w:p>
    <w:p>
      <w:r>
        <w:t>Papers were included if they: (a) addressed LLMs, generative AI, or a named system (e.g., ChatGPT, GPT-4, Claude, Gemini); (b) were situated within a healthcare or clinical context; and (c) were published between January 2020 and March 2026 in English. Tier 2 additionally required a simulation or training dimension. Tier 3 additionally required at least one NTS domain. Papers were excluded if they addressed traditional machine learning without an LLM component, clinical AI without an educational dimension, purely technical topics without a healthcare context, or were editorials or commentaries without original data.</w:t>
      </w:r>
    </w:p>
    <w:p>
      <w:pPr>
        <w:pStyle w:val="Heading2"/>
      </w:pPr>
      <w:r>
        <w:t>2.6 Bibliometric Analysis</w:t>
      </w:r>
    </w:p>
    <w:p>
      <w:r>
        <w:t>All analyses were performed in Python. **Performance analysis** encompassed annual publication trends with compound annual growth rate; citation metrics (h-index, g-index, i10-index); author productivity assessed against Lotka's law (Lotka, 1926); and journal concentration assessed against Bradford's law (Bradford, 1934). **Science mapping** involved keyword co-occurrence network construction, filtered to retain pairs co-occurring in at least two papers and individual keywords appearing in at least three papers. Community detection used the Louvain algorithm (Blondel et al., 2008). Callon's strategic thematic diagram (Callon et al., 1991) was constructed by computing centrality (external cohesion) and density (internal cohesion) for each cluster, dividing the space into four quadrants at the mean values: motor themes, niche themes, basic themes, and emerging or declining themes. **NTS domain classification** used regular expression pattern matching across nine domains (including task management and professionalism in addition to the seven core domains), capturing both explicit terminology and implicit references (e.g., "empathy," "shared mental model"). **Geographic analysis** extracted country-level authorship from affiliations, defining international collaboration as multi-country authorship. **Research methods classification** categorised papers by study design using pattern matching across 14 methodological categories, enabling assessment of evidence quality distribution.</w:t>
      </w:r>
    </w:p>
    <w:p>
      <w:pPr>
        <w:pStyle w:val="Heading2"/>
      </w:pPr>
      <w:r>
        <w:t>2.7 Open-Access Data Philosophy</w:t>
      </w:r>
    </w:p>
    <w:p>
      <w:r>
        <w:t>This analysis was designed from inception to use only freely accessible data sources, tools, and infrastructure. We contend that bibliometric instruments should not be restricted to those with institutional subscriptions---a position particularly pertinent in healthcare simulation, where educators and researchers in low- and middle-income settings may lack access to proprietary platforms. The complete pipeline is publicly available on GitHub and designed for re-execution at six-month intervals, enabling longitudinal field monitoring without repeating manual effort.</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3,000 papers (high/medium confidence, Tier 2/3 only). The core corpus---comprising 1,725 Tier 2 papers (57.5%) and 1,275 Tier 3 papers (42.5%)---forms the basis for all analyses reported below. The complete selection process is presented in the PRISMA flow diagram (Figure 1).</w:t>
      </w:r>
    </w:p>
    <w:p>
      <w:r>
        <w:t>Data completeness across the core corpus was generally high: citation data were available for 100.0% of papers, year for 100.0%, author data for 99.6%, DOI for 97.7%, abstract for 98.8%, keywords for 81.0%, and journal information for 77.9%. Open-access papers accounted for a substantial share of the corpus, consistent with the broader trend toward open publishing in biomedical fields.</w:t>
      </w:r>
    </w:p>
    <w:p>
      <w:pPr>
        <w:pStyle w:val="Heading2"/>
      </w:pPr>
      <w:r>
        <w:t>3.2 Publication Trends</w:t>
      </w:r>
    </w:p>
    <w:p>
      <w:r>
        <w:t>The core corpus exhibited rapid growth over the study period, with a compound annual growth rate (CAGR) of 38.0% from 2020 to 2025 (Table 1; Figure 2). Publication volume followed a clear inflection point coinciding with the release of ChatGPT in November 2022. The pre-ChatGPT period (2020--2022) accounted for 186 papers (6.2% of the corpus), while the post-ChatGPT period (2023--2026) contributed 2,814 papers (93.8%). Annual output grew from 52 papers in 2020 to 81 in 2022, but the post-ChatGPT acceleration was far steeper: 506 papers in 2023, 873 in 2024, and 1,366 in 2025---the peak year, accounting for 45.5% of all publications. Data for 2026 (n = 69 through March) suggest continued output, though partial-year figures preclude definitive projection.</w:t>
      </w:r>
    </w:p>
    <w:p>
      <w:r>
        <w:t>The transition from 2022 to 2023 represents a 6.2-fold increase in annual output, the single largest year-on-year surge in the dataset. This growth rate is consistent with broader bibliometric evidence on generative AI in biomedicine (Guo et al., 2024) and exceeds the typical diffusion curves observed for other health technology innovations (Rogers, 2003), underscoring the disruptive character of LLM adoption in healthcare research. The median publication year across the corpus was 2025, confirming that the literature is overwhelmingly recent.</w:t>
      </w:r>
    </w:p>
    <w:p>
      <w:pPr>
        <w:pStyle w:val="Heading2"/>
      </w:pPr>
      <w:r>
        <w:t>3.3 Citation Analysis</w:t>
      </w:r>
    </w:p>
    <w:p>
      <w:r>
        <w:t>The core corpus accumulated a total of 45,900 citations, yielding a mean of 15.30 citations per paper and a median of 2 (Table 2). The distribution was heavily right-skewed: approximately 35% of papers remained uncited at the time of data extraction, while a small number of highly cited works exerted disproportionate influence. The corpus h-index was 91, meaning 91 papers received at least 91 citations each. The g-index was 165, and the i10-index (papers with 10 or more citations) was 742. The most cited paper in the corpus received 1,150 citations.</w:t>
      </w:r>
    </w:p>
    <w:p>
      <w:r>
        <w:t>Citation intensity varied substantially by publication year. Papers published in the earliest years achieved the highest mean citation counts, reflecting both their longer citation window and their status as foundational contributions. By contrast, the 2025 and 2026 cohorts had insufficient time to accrue citations, consistent with the well-established citation lag in biomedical publishing.</w:t>
      </w:r>
    </w:p>
    <w:p>
      <w:pPr>
        <w:pStyle w:val="Heading2"/>
      </w:pPr>
      <w:r>
        <w:t>3.4 Author Analysis</w:t>
      </w:r>
    </w:p>
    <w:p>
      <w:r>
        <w:t>A total of 12,488 unique authors contributed to the core corpus, yielding a collaboration index of 5.51 authors per paper (Table 4). This figure is consistent with contemporary norms in biomedical research and reflects the multidisciplinary nature of LLM research, which frequently requires expertise spanning computer science, clinical medicine, and education.</w:t>
      </w:r>
    </w:p>
    <w:p>
      <w:r>
        <w:t>Author productivity followed Lotka's law with an exponent (beta) of 2.602 and an R-squared of 0.955, indicating an excellent fit to the inverse square distribution. The vast majority of contributors (86.4%; n = 10,793) published a single paper, while only 13.6% contributed two or more. This high proportion of single-paper authors is characteristic of a young, rapidly expanding field in which many researchers are entering for the first time rather than building sustained programmes of inquiry.</w:t>
      </w:r>
    </w:p>
    <w:p>
      <w:pPr>
        <w:pStyle w:val="Heading2"/>
      </w:pPr>
      <w:r>
        <w:t>3.5 Journal Distribution</w:t>
      </w:r>
    </w:p>
    <w:p>
      <w:r>
        <w:t>The core corpus papers with identifiable journal or source data (2,337 of 3,000; 77.9%) were distributed across 1,299 unique outlets (Table 6). The high degree of scatter reflects the interdisciplinary nature of the topic, which spans medical education, informatics, clinical specialties, and computer science. Single-paper journals accounted for 1,020 outlets (78.5%).</w:t>
      </w:r>
    </w:p>
    <w:p>
      <w:r>
        <w:t>Bradford's law analysis partitioned the journals into three zones of approximately equal article yield (Table 7; Figure 3). The most prolific source was arXiv (85 papers). The prominence of open-access and preprint platforms among the core journals is consistent with the field's rapid dissemination norms and the broader open-science ethos in AI research.</w:t>
      </w:r>
    </w:p>
    <w:p>
      <w:pPr>
        <w:pStyle w:val="Heading2"/>
      </w:pPr>
      <w:r>
        <w:t>3.6 Geographic Distribution</w:t>
      </w:r>
    </w:p>
    <w:p>
      <w:r>
        <w:t>Country-level authorship data revealed contributions from 106 countries, reflecting broad global engagement with LLMs in healthcare (Table 8; Figure 4). The United States led in absolute output, followed by China, India, the United Kingdom, and Canada. International collaborations---defined as papers with authors from more than one country---accounted for 21.8% of geographically identified papers, suggesting moderate but not dominant cross-border cooperation. The geographic concentration of output in high-income countries raises equity concerns regarding whose perspectives shape the evidence base for LLM integration in healthcare education.</w:t>
      </w:r>
    </w:p>
    <w:p>
      <w:pPr>
        <w:pStyle w:val="Heading2"/>
      </w:pPr>
      <w:r>
        <w:t>3.7 Thematic Mapping</w:t>
      </w:r>
    </w:p>
    <w:p>
      <w:r>
        <w:t>Keyword co-occurrence network analysis identified thematic clusters, which were plotted on Callon's strategic diagram using centrality (external cohesion) and density (internal cohesion) as axes (Table 9; Figure 5).</w:t>
      </w:r>
    </w:p>
    <w:p>
      <w:r>
        <w:t>**Motor themes (high centrality, high density):** Three clusters occupied this quadrant, encompassing simulation applications, training methodology, and practical implementation considerations; the core LLM-focused discourse; and research on system-level applications and evaluation methodologies. These motor themes are both internally coherent and strongly connected to the broader research network, indicating mature, driving research programmes.</w:t>
      </w:r>
    </w:p>
    <w:p>
      <w:r>
        <w:t>**Emerging or declining themes (low centrality, low density):** Two clusters occupied this quadrant, capturing the broad, foundational discourse on AI in clinical contexts and a technically focused community that may benefit from greater integration with educational and clinical stakeholders. Given the recency of LLM adoption, the positioning of these clusters likely reflects emergence rather than decline.</w:t>
      </w:r>
    </w:p>
    <w:p>
      <w:pPr>
        <w:pStyle w:val="Heading2"/>
      </w:pPr>
      <w:r>
        <w:t>3.8 Non-Technical Skills Domains</w:t>
      </w:r>
    </w:p>
    <w:p>
      <w:r>
        <w:t>Regex-based classification across nine NTS domains captured papers across the core corpus in at least one domain, with a substantial proportion classified into multiple domains (Table 10; Figure 6). Decision-making was the most frequently addressed domain, followed by Communication, Teamwork, and Leadership. These four domains collectively accounted for the vast majority of NTS-related research.</w:t>
      </w:r>
    </w:p>
    <w:p>
      <w:r>
        <w:t>By contrast, the lower-frequency domains revealed striking gaps. Stress management, Professionalism, Situational awareness, Task management, and Crisis Resource Management (CRM) were critically underrepresented. The disparity between Decision-making and CRM is particularly notable given that CRM principles underpin the design and facilitation of high-fidelity simulation scenarios across emergency medicine, anaesthesia, and surgical disciplines. The near-absence of CRM from the LLM literature suggests that the most simulation-specific NTS domain has been almost entirely overlooked by AI researchers.</w:t>
      </w:r>
    </w:p>
    <w:p>
      <w:r>
        <w:t>Cross-tabulation of simulation types and NTS domains (Table 11) revealed that VR/MR/XR simulations had the broadest NTS coverage. Virtual Patient/Chatbot simulations demonstrated strong coverage of Communication and Decision-making. Mannequin-based simulation---the modality most amenable to LLM-powered voice interaction---was among the least represented, with minimal CRM engagement.</w:t>
      </w:r>
    </w:p>
    <w:p>
      <w:pPr>
        <w:pStyle w:val="Heading2"/>
      </w:pPr>
      <w:r>
        <w:t>3.9 LLM Model Landscape</w:t>
      </w:r>
    </w:p>
    <w:p>
      <w:r>
        <w:t>Named-model classification identified specific LLMs in the corpus, revealing pronounced dominance by proprietary systems (Table 12; Figure 7). ChatGPT remained the most studied model by a substantial margin. The proprietary-open-source divide was stark, with papers mentioning at least one proprietary model far outnumbering those mentioning any open-source model. Llama was the most cited open-source model, followed by Mistral. Only a small proportion of papers mentioned both proprietary and open-source models, indicating minimal comparative evaluation.</w:t>
      </w:r>
    </w:p>
    <w:p>
      <w:r>
        <w:t>Temporal trends revealed that Gemini exhibited the steepest growth trajectory, while GPT-3.5 references declined, consistent with model obsolescence. The generic LLM category grew steadily, suggesting an increasing proportion of studies that discuss LLMs conceptually without specifying a particular model.</w:t>
      </w:r>
    </w:p>
    <w:p>
      <w:pPr>
        <w:pStyle w:val="Heading2"/>
      </w:pPr>
      <w:r>
        <w:t>3.10 Simulation Modalities</w:t>
      </w:r>
    </w:p>
    <w:p>
      <w:r>
        <w:t>Simulation-type classification identified papers matching at least one simulation modality (Table 13; Figure 8). VR/MR/XR was the most prevalent modality, reflecting the established synergy between immersive technologies and AI. Virtual Patient/Chatbot was the second most common, capturing the natural application of conversational AI in simulated clinical encounters. Scenario-based simulation occupied third place.</w:t>
      </w:r>
    </w:p>
    <w:p>
      <w:r>
        <w:t>The relatively low representation of mannequin-based simulation is notable given that this is the modality where LLM-powered text-to-speech could most directly replace human operators, enabling scalable, consistent simulated patient voices without the logistical constraints of human standardised patients.</w:t>
      </w:r>
    </w:p>
    <w:p>
      <w:pPr>
        <w:pStyle w:val="Heading2"/>
      </w:pPr>
      <w:r>
        <w:t>3.11 Research Methods</w:t>
      </w:r>
    </w:p>
    <w:p>
      <w:r>
        <w:t>Research methods classification revealed that comparative studies were the most common design, followed by development studies, validation studies, and cross-sectional surveys (Table 14). Randomised controlled trials constituted approximately 30 papers (1.0%), underscoring the early-stage nature of the evidence base and the relative paucity of rigorous comparative effectiveness research.</w:t>
      </w:r>
    </w:p>
    <w:p>
      <w:pPr>
        <w:pStyle w:val="Heading2"/>
      </w:pPr>
      <w:r>
        <w:t>3.12 Urology Sub-Analysis</w:t>
      </w:r>
    </w:p>
    <w:p>
      <w:r>
        <w:t>The urology-specific analysis identified 102 papers (3.4% of the core corpus), confirming that the specialty has engaged with LLM research but at a modest scale relative to the overall field (Table 15). The most salient finding was the complete absence of papers at the intersection of urology, LLMs, and simulation boot camps: although 5 boot camp papers appeared in the core corpus, none were urology-specific. Given that urology boot camps are an established training format---typically employing mannequin-based simulation with human operators providing simulated patient voices (Ahmed et al., 2014)---this represents a clear and actionable research gap.</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3,000 papers---restricted to high and medium confidence classifications at Tier 2 and Tier 3---was used for the main analysis. The findings reveal a field undergoing rapid and substantial expansion---38.0% compound annual growth, a post-ChatGPT surge that concentrated 93.8% of all output in fewer than four years, and contributions from 12,488 authors across 106 countries---yet one characterised by significant structural imbalances that warrant careful consideration.</w:t>
      </w:r>
    </w:p>
    <w:p>
      <w:r>
        <w:t>Five principal findings emerge. First, the literature is overwhelmingly recent and concentrated: 93.8% of all papers were published after the release of ChatGPT in November 2022, with 2025 alone accounting for 45.5% of the corpus (1,366 papers). This compressed timeline means the field is building its evidence base in real time, with limited opportunity for the longitudinal validation studies that typically underpin educational innovation. Second, citation analysis reveals a highly skewed distribution (h-index 91, g-index 165)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(Gaba et al., 2001).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produced a finding that is notable for its absence. Despite 102 urology-related papers in the core corpus and 5 boot camp papers across all specialties, the intersection of these categories was empty: zero papers examine LLMs in the context of urology simulation boot camps. This null finding is significant because urology boot camps represent one of the most structured and well-established simulation training formats in surgical education (Ahmed et al., 2014). These programmes typically employ mannequin-based simulation stations at which human operators provide simulated patient voices, speaking through speakers embedded in the mannequin to guide learners through clinical encounters.</w:t>
      </w:r>
    </w:p>
    <w:p>
      <w:r>
        <w:t>This operational model is precisely the configuration where LLM-powered text-to-speech technology could deliver immediate, practical benefit. An LLM could replace the human operator, generating contextually appropriate patient dialogue in real time, responding dynamically to learner actions, and maintaining consistent patient personas across training sessions. The advantages are substantial: scalability (multiple stations can run simultaneously without proportional increases in human staffing), consistency (every learner encounters the same patient baseline), availability (training is not constrained by facilitator schedules), multilingual support (patients can speak in the learner's language of choice), and automated assessment (conversational data can be analysed to provide structured feedback on communication quality, history-taking completeness, and empathetic responsiveness).</w:t>
      </w:r>
    </w:p>
    <w:p>
      <w:r>
        <w:t>The absence of published research on this application---despite the clear alignment between the technology and the educational need---suggests that the urology simulation community and the LLM research community are operating in parallel without meaningful cross-pollination. Bridging this gap requires deliberate, interdisciplinary collaboration between urological educators who understand the pedagogical requirements of boot camp training and AI researchers who can develop, deploy, and evaluate LLM-powered simulation systems.</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3,000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(Guo et al., 2024; Wang et al., 2023).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(Priem et al., 2022),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breadth---3,000 core papers from 106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pStyle w:val="Heading1"/>
      </w:pPr>
      <w:r>
        <w:t>5. Conclusions</w:t>
      </w:r>
    </w:p>
    <w:p>
      <w:r>
        <w:t>This bibliometric analysis provides the first comprehensive, open-access mapping of the research landscape at the intersection of large language models, healthcare simulation, and non-technical skills training. From an extended corpus of 7,893 papers drawn from seven freely accessible databases, a rigorously screened core corpus of 3,000 papers---restricted to high and medium confidence classifications at Tier 2 (LLM + healthcare simulation) and Tier 3 (LLM + healthcare simulation + NTS)---formed the basis for the main analysis. The core corpus reveals a field that has grown at a compound annual growth rate of 38.0%, with 93.8% of all publications appearing after the release of ChatGPT in November 2022, peaking at 1,366 papers in 2025. The corpus spans 106 countries, 1,299 journals, and 12,488 unique authors, confirming that LLMs in healthcare simulation have rapidly become a global research priority.</w:t>
      </w:r>
    </w:p>
    <w:p>
      <w:r>
        <w:t>Five key findings merit emphasis. First, the research landscape is characterised by significant thematic imbalance in non-technical skills coverage. Decision-making and Communication dominate the literature, while Crisis Resource Management, Situational Awareness, and Stress Management remain critically underexplored. Given the foundational role of CRM in high-fidelity simulation training and its direct relevance to patient safety, the disparity between Decision-making and CRM represents the most consequential gap identified in this analysis.</w:t>
      </w:r>
    </w:p>
    <w:p>
      <w:r>
        <w:t>Second, the field's dependence on proprietary LLMs creates vulnerabilities in reproducibility, equity, and institutional autonomy. Research findings generated on commercial platforms that may be updated or withdrawn cannot be independently verified, and institutions in resource-limited settings may be unable to replicate reported implementations.</w:t>
      </w:r>
    </w:p>
    <w:p>
      <w:r>
        <w:t>Third, the complete absence of publications at the intersection of LLMs, urology, and simulation boot camps identifies a specific, actionable research opportunity. LLM-powered text-to-speech technology is well suited to replace human operators at mannequin-based simulation stations, offering scalability, consistency, and availability advantages that could transform boot camp delivery.</w:t>
      </w:r>
    </w:p>
    <w:p>
      <w:r>
        <w:t>Fourth, geographic analysis reveals that high-income countries produce the majority of the evidence base. Equitable access to LLM-powered educational tools requires deliberate investment in multilingual, locally deployable, open-source solutions.</w:t>
      </w:r>
    </w:p>
    <w:p>
      <w:r>
        <w:t>Fifth, the open-access bibliometric pipeline developed for this study demonstrates that rigorous, large-scale research synthesis is achievable without proprietary database subscriptions. The complete methodology---from data collection through analysis---is publicly available for reproduction and longitudinal updating.</w:t>
      </w:r>
    </w:p>
    <w:p>
      <w:r>
        <w:t>Based on these findings, we offer five practical recommendations. Simulation educators should prioritise LLM integration in Communication and Decision-making training, where the evidence base is most mature, while maintaining human-led facilitation for CRM and team-based competencies. Researchers should direct attention toward the identified gaps: CRM training, open-source model evaluation, mannequin-based simulation augmentation, and randomised controlled trials of educational outcomes. Funding bodies should support comparative studies of open-source versus proprietary models in healthcare simulation contexts. Institutions adopting LLMs for education should develop governance frameworks that account for model versioning, data privacy, and the risks of commercial platform dependency. Finally, the bibliometric community should embrace open-access data sources and replicable pipelines as standard practice, particularly in fields where the intended beneficiaries of research synthesis may lack institutional access to proprietary tools.</w:t>
      </w:r>
    </w:p>
    <w:p>
      <w:r>
        <w:t>The integration of large language models into healthcare simulation holds genuine promise for expanding access to high-quality training, personalising educational experiences, and addressing workforce development challenges across clinical disciplines. Realising this promise, however, requires the field to move beyond its current concentration on a narrow band of NTS domains, a single family of proprietary models, and descriptive study designs. The evidence map presented here provides a foundation for that transition.</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