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Background</w:t>
      </w:r>
    </w:p>
    <w:p>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r>
        <w:rPr>
          <w:b/>
        </w:rPr>
        <w:t>Methods</w:t>
      </w:r>
    </w:p>
    <w:p>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r>
        <w:rPr>
          <w:b/>
        </w:rPr>
        <w:t>Results</w:t>
      </w:r>
    </w:p>
    <w:p>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r>
        <w:t>Within urology, 117 papers (3.8% of the corpus) were identified [9]. Although manual supplementary searching identified isolated examples of LLM use for NTS feedback in urology simulation [36], no studies were found evaluating LLM-powered mannequin voices or conversational agents within urology boot camp formats specifically, despite the apparent feasibility of such applications.</w:t>
      </w:r>
    </w:p>
    <w:p>
      <w:r>
        <w:rPr>
          <w:b/>
        </w:rPr>
        <w:t>Conclusions</w:t>
      </w:r>
    </w:p>
    <w:p>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r>
        <w:t>**Keywords:** large language models; healthcare simulation; non‑technical skills; crisis resource management; medical education; urology; boot camp; bibliometrics.</w:t>
      </w:r>
    </w:p>
    <w:p>
      <w:pPr>
        <w:pStyle w:val="Heading1"/>
      </w:pPr>
      <w:r>
        <w:t>1. Introduction</w:t>
      </w:r>
    </w:p>
    <w:p>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t>1.1 Background</w:t>
      </w:r>
    </w:p>
    <w:p>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have suggested that models such as GPT‑4 and Claude can pass medical licensing examinations, generate clinically plausible case vignettes, and role‑play standardised patients with sufficient fidelity to support meaningful educational encounters [9,10].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t>1.3 Rationale and Objectives</w:t>
      </w:r>
    </w:p>
    <w:p>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pPr>
      <w:r>
        <w:t>To identify the dominant research themes, intellectual clusters, and emergent topics through keyword co-occurrence analysis and Callon’s strategic thematic diagram.</w:t>
      </w:r>
    </w:p>
    <w:p>
      <w:pPr>
        <w:pStyle w:val="ListNumber"/>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t>2. Methods</w:t>
      </w:r>
    </w:p>
    <w:p>
      <w:pPr>
        <w:pStyle w:val="Heading2"/>
      </w:pPr>
      <w:r>
        <w:t>2.1 Study Design</w:t>
      </w:r>
    </w:p>
    <w:p>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t>2.2 Data Sources and Search Strategy</w:t>
      </w:r>
    </w:p>
    <w:p>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r>
        <w:t>A three-tier search strategy was employed to capture the breadth of the literature while permitting analysis at increasing specificity:</w:t>
      </w:r>
    </w:p>
    <w:p>
      <w:pPr>
        <w:pStyle w:val="ListBullet"/>
      </w:pPr>
      <w:r>
        <w:t>**Tier 1 (broadest):** Large language model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(NTS)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t>2.3 Data Processing</w:t>
      </w:r>
    </w:p>
    <w:p>
      <w:r>
        <w:t>Records from the seven databases were normalised to a common schema encompassing title, authors, year, DOI, abstract, journal/source,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t>2.4 Screening Process</w:t>
      </w:r>
    </w:p>
    <w:p>
      <w:pPr>
        <w:pStyle w:val="Heading3"/>
      </w:pPr>
      <w:r>
        <w:t>2.4.1 Stage 1: Keyword Pre-filter</w:t>
      </w:r>
    </w:p>
    <w:p>
      <w:r>
        <w:t>Automated keyword matching across four categories (LLM, simulation, NTS, and medical terms) provisionally classified each paper as a definite include, definite exclude, or uncertain. Papers were labelled as:</w:t>
      </w:r>
    </w:p>
    <w:p>
      <w:pPr>
        <w:pStyle w:val="ListBullet"/>
      </w:pPr>
      <w:r>
        <w:t>**Definite include:** at least five cross-category keyword matches, including at least one LLM term;</w:t>
      </w:r>
    </w:p>
    <w:p>
      <w:pPr>
        <w:pStyle w:val="ListBullet"/>
      </w:pPr>
      <w:r>
        <w:t>**Definite exclude:** zero LLM terms;</w:t>
      </w:r>
    </w:p>
    <w:p>
      <w:pPr>
        <w:pStyle w:val="ListBullet"/>
      </w:pPr>
      <w:r>
        <w:t>**Uncertain:** all remaining records.</w:t>
      </w:r>
    </w:p>
    <w:p>
      <w:r>
        <w:t>This procedure yielded **3,648** definite includes, **73,990** definite excludes, and **8,997** uncertain cases, based on the 86,635 unique records after deduplication.</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r>
        <w:t>Following screening, the results were organised into a corpus structure aligned with the final analytic dataset:</w:t>
      </w:r>
    </w:p>
    <w:p>
      <w:pPr>
        <w:pStyle w:val="ListBullet"/>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pPr>
      <w:r>
        <w:t>**Tier-based subsets:** Within the core corpus, Tier 2 papers focus on LLMs in healthcare simulation, while Tier 3 papers additionally include an explicit NTS component. These subsets are used for sensitivity analyses where relevant.</w:t>
      </w:r>
    </w:p>
    <w:p>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t>2.5 Inclusion and Exclusion Criteria</w:t>
      </w:r>
    </w:p>
    <w:p>
      <w:r>
        <w:t>Papers were included if they met all of the following criteria:</w:t>
      </w:r>
    </w:p>
    <w:p>
      <w:r>
        <w:t>a) addressed LLMs, generative AI, or a named system (e.g., ChatGPT, GPT‑4, Claude, Gemini, other proprietary or open-source LLMs);</w:t>
      </w:r>
    </w:p>
    <w:p>
      <w:r>
        <w:t>b) were situated within a healthcare or clinical context (including medical, nursing, allied health, dental, and related domains); and</w:t>
      </w:r>
    </w:p>
    <w:p>
      <w:r>
        <w:t>c) were published between January 2020 and March 2026 in English.</w:t>
      </w:r>
    </w:p>
    <w:p>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t>2.6 Bibliometric Analysis</w:t>
      </w:r>
    </w:p>
    <w:p>
      <w:r>
        <w:t>All analyses were performed in Python using reproducible scripts. Unless otherwise indicated, all quantitative results in the Results section refer to the **3,112** papers in the core corpus, for which citation data were available for **100.0%** of records.</w:t>
      </w:r>
    </w:p>
    <w:p>
      <w:r>
        <w:t>**Performance analysis** included:</w:t>
      </w:r>
    </w:p>
    <w:p>
      <w:pPr>
        <w:pStyle w:val="ListBullet"/>
      </w:pPr>
      <w:r>
        <w:t>annual publication trends (2020–2026) with compound annual growth rate (CAGR) computed from the yearly counts (54, 56, 88, 367, 767, 1,415, 365; total **3,112** papers; overall CAGR **37.5%**);</w:t>
      </w:r>
    </w:p>
    <w:p>
      <w:pPr>
        <w:pStyle w:val="ListBullet"/>
      </w:pPr>
      <w:r>
        <w:t>citation metrics computed on the full core corpus, including total citations (**46,823**), mean citations (**15.05**), median citations (**1**), maximum citations (**1,150**), and distribution of uncited papers (**1,267**, 40.7%);</w:t>
      </w:r>
    </w:p>
    <w:p>
      <w:pPr>
        <w:pStyle w:val="ListBullet"/>
      </w:pPr>
      <w:r>
        <w:t>h‑index (**92**), g‑index (**166**), and i10‑index (**772**) for the corpus;</w:t>
      </w:r>
    </w:p>
    <w:p>
      <w:pPr>
        <w:pStyle w:val="ListBullet"/>
      </w:pPr>
      <w:r>
        <w:t>author productivity and collaboration patterns, including total unique authors (**12,937**), collaboration index (mean authors per paper: **5.51**), and fit to Lotka’s law (Lotka exponent β = **2.559**, R² = **0.941**);</w:t>
      </w:r>
    </w:p>
    <w:p>
      <w:pPr>
        <w:pStyle w:val="ListBullet"/>
      </w:pPr>
      <w:r>
        <w:t>journal and source concentration, including total unique journals/sources (**1,343**), papers with journal data (**2,407**), and Bradford’s law zones (Zone 1: 63 journals, 804 papers; Zone 2: 478 journals, 801 papers; Zone 3: 802 journals, 802 papers).</w:t>
      </w:r>
    </w:p>
    <w:p>
      <w:r>
        <w:t>**Science mapping** involved:</w:t>
      </w:r>
    </w:p>
    <w:p>
      <w:pPr>
        <w:pStyle w:val="ListBullet"/>
      </w:pPr>
      <w:r>
        <w:t>construction of keyword co-occurrence networks, filtered to retain pairs co-occurring in at least two papers and individual keywords appearing in at least three papers;</w:t>
      </w:r>
    </w:p>
    <w:p>
      <w:pPr>
        <w:pStyle w:val="ListBullet"/>
      </w:pPr>
      <w:r>
        <w:t>community detection using the Louvain algorithm [27];</w:t>
      </w:r>
    </w:p>
    <w:p>
      <w:pPr>
        <w:pStyle w:val="ListBullet"/>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pPr>
      <w:r>
        <w:t>**1,730** papers (**55.6%**) were classified into at least one NTS domain;</w:t>
      </w:r>
    </w:p>
    <w:p>
      <w:pPr>
        <w:pStyle w:val="ListBullet"/>
      </w:pPr>
      <w:r>
        <w:t>**563** papers (**18.1%**) were mapped to multiple domains;</w:t>
      </w:r>
    </w:p>
    <w:p>
      <w:pPr>
        <w:pStyle w:val="ListBullet"/>
      </w:pPr>
      <w:r>
        <w:t>**1,382** papers (**44.4%**) had no NTS domain assignment under the applied patterns.</w:t>
      </w:r>
    </w:p>
    <w:p>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t>2.7 Open-Access Data Philosophy</w:t>
      </w:r>
    </w:p>
    <w:p>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t>3.2 Publication Trends</w:t>
      </w:r>
    </w:p>
    <w:p>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t>3.3 Citation Analysis</w:t>
      </w:r>
    </w:p>
    <w:p>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t>3.4 Author Analysis</w:t>
      </w:r>
    </w:p>
    <w:p>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t>3.5 Journal Distribution</w:t>
      </w:r>
    </w:p>
    <w:p>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t>3.6 Geographic Distribution</w:t>
      </w:r>
    </w:p>
    <w:p>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t>3.7 Thematic Mapping</w:t>
      </w:r>
    </w:p>
    <w:p>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t>3.8 Non-Technical Skills Domains</w:t>
      </w:r>
    </w:p>
    <w:p>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t>3.9 LLM Model Landscape</w:t>
      </w:r>
    </w:p>
    <w:p>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t>3.10 Simulation Modalities</w:t>
      </w:r>
    </w:p>
    <w:p>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t>3.11 Research Methods</w:t>
      </w:r>
    </w:p>
    <w:p>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t>3.12 Urology Sub-Analysis</w:t>
      </w:r>
    </w:p>
    <w:p>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r>
        <w:t>The intersection of urology, LLMs, and simulation boot camps was extremely sparse in the automated dataset: although 6 boot camp papers were identified across all specialties, none were urology-specific. Manual supplementary searching identified one notable exception---a double-blinded study benchmarking ChatGPT-4 against consultant interaction for NTS feedback to urology trainees in simulated scenarios [36], alongside emerging work on UroBot (a urology-specific LLM) and VR-based NTS training for urology trainees. However, no studies were identified examining LLM-powered mannequin voices or conversational agents deployed within the intensive boot camp format specifically. Given that urology boot camps are an established training format---typically employing mannequin-based simulation with human operators providing simulated patient voices [35]---this near-absence points to a clear and actionable research gap. LLM-powered text-to-speech could, in principle, support more scalable, consistent, and multilingual boot camp formats, but empirical studies evaluating such applications remain lacking.</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revealed a notably sparse literature at the intersection of LLMs, simulation, and urology-specific training. Despite 117 urology-related papers in the core corpus, the automated search identified no papers explicitly combining LLMs with urology boot camp formats. Manual supplementary searching identified a small number of relevant exceptions, most notably a double-blinded study benchmarking ChatGPT-4 against consultant interaction for NTS feedback to urology trainees in simulated scenarios [36], and emerging work on UroBot---a urology-specific LLM trained on European Association of Urology guidelines. A pilot study on VR-based NTS training for urology trainees has also been reported. These studies demonstrate that the component technologies exist and have been individually validated, but their integration into the structured, intensive boot camp format---one of the most established simulation training models in surgical education [35]---has not yet been reported.</w:t>
      </w:r>
    </w:p>
    <w:p>
      <w:r>
        <w:t>This gap is striking because urology boot camps typically employ mannequin-based simulation stations at which human operators provide simulated patient voices. 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would include scalability (multiple stations running simultaneously without proportional increases in human staffing), consistency (standardised patient baselines), availability (training not constrained by facilitator schedules), multilingual support, and automated assessment of communication quality and empathetic responsiveness.</w:t>
      </w:r>
    </w:p>
    <w:p>
      <w:r>
        <w:t>The near-absence of published research on this specific application---despite the clear alignment between the technology and the educational need, and despite the existence of validated component technologies---suggests that the urology simulation community and the LLM research community are operating in parallel without sufficient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