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565C0"/>
        </w:rPr>
        <w:t>Bibliometric Analysis of LLMs in Healthcare Simulation</w:t>
      </w:r>
    </w:p>
    <w:p>
      <w:pPr>
        <w:jc w:val="center"/>
      </w:pPr>
      <w:r>
        <w:rPr>
          <w:color w:val="424242"/>
          <w:sz w:val="32"/>
        </w:rPr>
        <w:t>Complete Figure Compendium</w:t>
      </w:r>
    </w:p>
    <w:p>
      <w:pPr>
        <w:jc w:val="center"/>
      </w:pPr>
      <w:r>
        <w:rPr>
          <w:color w:val="757575"/>
          <w:sz w:val="24"/>
        </w:rPr>
        <w:t>Core Dataset: 3,000 papers | Generated: March 2026</w:t>
      </w:r>
    </w:p>
    <w:p/>
    <w:p>
      <w:pPr>
        <w:pStyle w:val="Heading1"/>
      </w:pPr>
      <w:r>
        <w:t>Dataset Summary</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Total papers (core corpus)</w:t>
            </w:r>
          </w:p>
        </w:tc>
        <w:tc>
          <w:tcPr>
            <w:tcW w:type="dxa" w:w="4320"/>
          </w:tcPr>
          <w:p>
            <w:r>
              <w:t>3,000</w:t>
            </w:r>
          </w:p>
        </w:tc>
      </w:tr>
      <w:tr>
        <w:tc>
          <w:tcPr>
            <w:tcW w:type="dxa" w:w="4320"/>
          </w:tcPr>
          <w:p>
            <w:r>
              <w:t>Raw records collected</w:t>
            </w:r>
          </w:p>
        </w:tc>
        <w:tc>
          <w:tcPr>
            <w:tcW w:type="dxa" w:w="4320"/>
          </w:tcPr>
          <w:p>
            <w:r>
              <w:t>100,277</w:t>
            </w:r>
          </w:p>
        </w:tc>
      </w:tr>
      <w:tr>
        <w:tc>
          <w:tcPr>
            <w:tcW w:type="dxa" w:w="4320"/>
          </w:tcPr>
          <w:p>
            <w:r>
              <w:t>Databases searched</w:t>
            </w:r>
          </w:p>
        </w:tc>
        <w:tc>
          <w:tcPr>
            <w:tcW w:type="dxa" w:w="4320"/>
          </w:tcPr>
          <w:p>
            <w:r>
              <w:t>7</w:t>
            </w:r>
          </w:p>
        </w:tc>
      </w:tr>
      <w:tr>
        <w:tc>
          <w:tcPr>
            <w:tcW w:type="dxa" w:w="4320"/>
          </w:tcPr>
          <w:p>
            <w:r>
              <w:t>Query strategies</w:t>
            </w:r>
          </w:p>
        </w:tc>
        <w:tc>
          <w:tcPr>
            <w:tcW w:type="dxa" w:w="4320"/>
          </w:tcPr>
          <w:p>
            <w:r>
              <w:t>35</w:t>
            </w:r>
          </w:p>
        </w:tc>
      </w:tr>
      <w:tr>
        <w:tc>
          <w:tcPr>
            <w:tcW w:type="dxa" w:w="4320"/>
          </w:tcPr>
          <w:p>
            <w:r>
              <w:t>Date range</w:t>
            </w:r>
          </w:p>
        </w:tc>
        <w:tc>
          <w:tcPr>
            <w:tcW w:type="dxa" w:w="4320"/>
          </w:tcPr>
          <w:p>
            <w:r>
              <w:t>January 2020 - March 2026</w:t>
            </w:r>
          </w:p>
        </w:tc>
      </w:tr>
    </w:tbl>
    <w:p>
      <w:r>
        <w:br w:type="page"/>
      </w:r>
    </w:p>
    <w:p>
      <w:pPr>
        <w:pStyle w:val="Heading2"/>
      </w:pPr>
      <w:r>
        <w:t>Graphical Abstract</w:t>
      </w:r>
    </w:p>
    <w:p>
      <w:pPr>
        <w:jc w:val="center"/>
      </w:pPr>
      <w:r>
        <w:drawing>
          <wp:inline xmlns:a="http://schemas.openxmlformats.org/drawingml/2006/main" xmlns:pic="http://schemas.openxmlformats.org/drawingml/2006/picture">
            <wp:extent cx="5486400" cy="3104606"/>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5486400" cy="3104606"/>
                    </a:xfrm>
                    <a:prstGeom prst="rect"/>
                  </pic:spPr>
                </pic:pic>
              </a:graphicData>
            </a:graphic>
          </wp:inline>
        </w:drawing>
      </w:r>
    </w:p>
    <w:p>
      <w:r>
        <w:rPr>
          <w:b/>
          <w:sz w:val="20"/>
        </w:rPr>
        <w:t xml:space="preserve">Graphical Abstract: </w:t>
      </w:r>
      <w:r>
        <w:rPr>
          <w:color w:val="424242"/>
          <w:sz w:val="20"/>
        </w:rPr>
        <w:t>The bibliometric analysis of 3,000 papers related to Large Language Models in healthcare simulation reveals significant growth, with a compound annual growth rate (CAGR) of 38.0% and a peak projected in 2025. A notable 93.8% of records are post-ChatGPT, and the h-index stands at 91. Despite 100,277 records, only 3,000 are considered core, highlighting the selective nature of this analysis. The analysis identifies a decision-making gap, with 889 papers on decision-making but only four on customer relationship management (CRM), indicating a 222:1 ratio. Model dominance is evident, with ChatGPT featuring in 25.9% of papers; proprietary models dominate at 42.7%, while open-source constitutes only 2.8%. The study also highlights a gap in urology research integration, as no papers combine LLMs with boot camps. The data, sourced from seven free databases, spans 84 countries, involving 12,488 authors, and is supported by an open-source pipeline re-run every six months.</w:t>
      </w:r>
    </w:p>
    <w:p/>
    <w:p>
      <w:pPr>
        <w:pStyle w:val="Heading2"/>
      </w:pPr>
      <w:r>
        <w:t>Figure 1: PRISMA 2020 Flow Diagram</w:t>
      </w:r>
    </w:p>
    <w:p>
      <w:pPr>
        <w:jc w:val="center"/>
      </w:pPr>
      <w:r>
        <w:drawing>
          <wp:inline xmlns:a="http://schemas.openxmlformats.org/drawingml/2006/main" xmlns:pic="http://schemas.openxmlformats.org/drawingml/2006/picture">
            <wp:extent cx="5486400" cy="6216265"/>
            <wp:docPr id="2" name="Picture 2"/>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6216265"/>
                    </a:xfrm>
                    <a:prstGeom prst="rect"/>
                  </pic:spPr>
                </pic:pic>
              </a:graphicData>
            </a:graphic>
          </wp:inline>
        </w:drawing>
      </w:r>
    </w:p>
    <w:p>
      <w:r>
        <w:rPr>
          <w:b/>
          <w:sz w:val="20"/>
        </w:rPr>
        <w:t xml:space="preserve">Figure 1: PRISMA 2020 Flow Diagram: </w:t>
      </w:r>
      <w:r>
        <w:rPr>
          <w:color w:val="424242"/>
          <w:sz w:val="20"/>
        </w:rPr>
        <w:t>The PRISMA 2020 Flow Diagram illustrates the systematic screening process of records from seven databases, initially comprising 100,277 entries. After removing 13,642 duplicates (13.6%), 86,635 records were screened, resulting in 3,000 papers selected for bibliometric analysis. This selection includes division into three tiers: Tier 2, focusing on Simulation with 1,725 papers, and Tier 3, focusing on NTS (focused scope) with 1,275 papers, whereas Tier 1 had no papers. Analyses performed span various bibliometric methods, including citation analysis, keyword co-occurrence, and domain classification.</w:t>
      </w:r>
    </w:p>
    <w:p/>
    <w:p>
      <w:pPr>
        <w:pStyle w:val="Heading2"/>
      </w:pPr>
      <w:r>
        <w:t>Figure 2: Publication Trends by Year</w:t>
      </w:r>
    </w:p>
    <w:p>
      <w:pPr>
        <w:jc w:val="center"/>
      </w:pPr>
      <w:r>
        <w:drawing>
          <wp:inline xmlns:a="http://schemas.openxmlformats.org/drawingml/2006/main" xmlns:pic="http://schemas.openxmlformats.org/drawingml/2006/picture">
            <wp:extent cx="5486400" cy="3261483"/>
            <wp:docPr id="3" name="Picture 3"/>
            <wp:cNvGraphicFramePr>
              <a:graphicFrameLocks noChangeAspect="1"/>
            </wp:cNvGraphicFramePr>
            <a:graphic>
              <a:graphicData uri="http://schemas.openxmlformats.org/drawingml/2006/picture">
                <pic:pic>
                  <pic:nvPicPr>
                    <pic:cNvPr id="0" name="publication_trends.png"/>
                    <pic:cNvPicPr/>
                  </pic:nvPicPr>
                  <pic:blipFill>
                    <a:blip r:embed="rId11"/>
                    <a:stretch>
                      <a:fillRect/>
                    </a:stretch>
                  </pic:blipFill>
                  <pic:spPr>
                    <a:xfrm>
                      <a:off x="0" y="0"/>
                      <a:ext cx="5486400" cy="3261483"/>
                    </a:xfrm>
                    <a:prstGeom prst="rect"/>
                  </pic:spPr>
                </pic:pic>
              </a:graphicData>
            </a:graphic>
          </wp:inline>
        </w:drawing>
      </w:r>
    </w:p>
    <w:p>
      <w:r>
        <w:rPr>
          <w:b/>
          <w:sz w:val="20"/>
        </w:rPr>
        <w:t xml:space="preserve">Figure 2: Publication Trends by Year: </w:t>
      </w:r>
      <w:r>
        <w:rPr>
          <w:color w:val="424242"/>
          <w:sz w:val="20"/>
        </w:rPr>
        <w:t>The figure illustrates a significant upward trend in publications related to Large Language Models in healthcare simulation from 2020 to 2026. Starting with modest numbers in 2020 (52 publications) and 2021 (53 publications), there is a noticeable increase in 2023 to 349 publications, coinciding with the launch of ChatGPT, indicated by a red dashed line. This growth continues, peaking at 1,366 publications in 2025, before slightly decreasing to 359 in 2026.</w:t>
      </w:r>
    </w:p>
    <w:p/>
    <w:p>
      <w:pPr>
        <w:pStyle w:val="Heading2"/>
      </w:pPr>
      <w:r>
        <w:t>Figure 3: Cumulative Publication Growth</w:t>
      </w:r>
    </w:p>
    <w:p>
      <w:pPr>
        <w:jc w:val="center"/>
      </w:pPr>
      <w:r>
        <w:drawing>
          <wp:inline xmlns:a="http://schemas.openxmlformats.org/drawingml/2006/main" xmlns:pic="http://schemas.openxmlformats.org/drawingml/2006/picture">
            <wp:extent cx="5486400" cy="3261483"/>
            <wp:docPr id="4" name="Picture 4"/>
            <wp:cNvGraphicFramePr>
              <a:graphicFrameLocks noChangeAspect="1"/>
            </wp:cNvGraphicFramePr>
            <a:graphic>
              <a:graphicData uri="http://schemas.openxmlformats.org/drawingml/2006/picture">
                <pic:pic>
                  <pic:nvPicPr>
                    <pic:cNvPr id="0" name="cumulative_growth.png"/>
                    <pic:cNvPicPr/>
                  </pic:nvPicPr>
                  <pic:blipFill>
                    <a:blip r:embed="rId12"/>
                    <a:stretch>
                      <a:fillRect/>
                    </a:stretch>
                  </pic:blipFill>
                  <pic:spPr>
                    <a:xfrm>
                      <a:off x="0" y="0"/>
                      <a:ext cx="5486400" cy="3261483"/>
                    </a:xfrm>
                    <a:prstGeom prst="rect"/>
                  </pic:spPr>
                </pic:pic>
              </a:graphicData>
            </a:graphic>
          </wp:inline>
        </w:drawing>
      </w:r>
    </w:p>
    <w:p>
      <w:r>
        <w:rPr>
          <w:b/>
          <w:sz w:val="20"/>
        </w:rPr>
        <w:t xml:space="preserve">Figure 3: Cumulative Publication Growth: </w:t>
      </w:r>
      <w:r>
        <w:rPr>
          <w:color w:val="424242"/>
          <w:sz w:val="20"/>
        </w:rPr>
        <w:t>The cumulative publication growth of literature pertaining to Large Language Models in healthcare simulation exhibits a marked acceleration starting from 2023. Initial growth from 2020 to 2022 is modest, with cumulative publications under 250. A significant increase is observed between 2023 and 2026, culminating in approximately 3,000 cumulative publications, underscoring a rapid expansion of research interest and output in this domain.</w:t>
      </w:r>
    </w:p>
    <w:p/>
    <w:p>
      <w:pPr>
        <w:pStyle w:val="Heading2"/>
      </w:pPr>
      <w:r>
        <w:t>Figure 4: Citation Distribution</w:t>
      </w:r>
    </w:p>
    <w:p>
      <w:pPr>
        <w:jc w:val="center"/>
      </w:pPr>
      <w:r>
        <w:drawing>
          <wp:inline xmlns:a="http://schemas.openxmlformats.org/drawingml/2006/main" xmlns:pic="http://schemas.openxmlformats.org/drawingml/2006/picture">
            <wp:extent cx="5486400" cy="3242891"/>
            <wp:docPr id="5" name="Picture 5"/>
            <wp:cNvGraphicFramePr>
              <a:graphicFrameLocks noChangeAspect="1"/>
            </wp:cNvGraphicFramePr>
            <a:graphic>
              <a:graphicData uri="http://schemas.openxmlformats.org/drawingml/2006/picture">
                <pic:pic>
                  <pic:nvPicPr>
                    <pic:cNvPr id="0" name="citation_distribution.png"/>
                    <pic:cNvPicPr/>
                  </pic:nvPicPr>
                  <pic:blipFill>
                    <a:blip r:embed="rId13"/>
                    <a:stretch>
                      <a:fillRect/>
                    </a:stretch>
                  </pic:blipFill>
                  <pic:spPr>
                    <a:xfrm>
                      <a:off x="0" y="0"/>
                      <a:ext cx="5486400" cy="3242891"/>
                    </a:xfrm>
                    <a:prstGeom prst="rect"/>
                  </pic:spPr>
                </pic:pic>
              </a:graphicData>
            </a:graphic>
          </wp:inline>
        </w:drawing>
      </w:r>
    </w:p>
    <w:p>
      <w:r>
        <w:rPr>
          <w:b/>
          <w:sz w:val="20"/>
        </w:rPr>
        <w:t xml:space="preserve">Figure 4: Citation Distribution: </w:t>
      </w:r>
      <w:r>
        <w:rPr>
          <w:color w:val="424242"/>
          <w:sz w:val="20"/>
        </w:rPr>
        <w:t>The citation distribution of 3,000 papers indicates that a significant proportion, 40.2%, remain uncited. The distribution shows a skew with a mean citation count of 15.3, while the median is notably lower at 2, implying a concentration of papers with few citations. Additionally, the dataset exhibits an h-index of 91, suggesting a substantial number of highly-cited works, despite the prevalence of uncited papers.</w:t>
      </w:r>
    </w:p>
    <w:p/>
    <w:p>
      <w:pPr>
        <w:pStyle w:val="Heading2"/>
      </w:pPr>
      <w:r>
        <w:t>Figure 5: Citations Stratified by Year</w:t>
      </w:r>
    </w:p>
    <w:p>
      <w:pPr>
        <w:jc w:val="center"/>
      </w:pPr>
      <w:r>
        <w:drawing>
          <wp:inline xmlns:a="http://schemas.openxmlformats.org/drawingml/2006/main" xmlns:pic="http://schemas.openxmlformats.org/drawingml/2006/picture">
            <wp:extent cx="5486400" cy="3266995"/>
            <wp:docPr id="6" name="Picture 6"/>
            <wp:cNvGraphicFramePr>
              <a:graphicFrameLocks noChangeAspect="1"/>
            </wp:cNvGraphicFramePr>
            <a:graphic>
              <a:graphicData uri="http://schemas.openxmlformats.org/drawingml/2006/picture">
                <pic:pic>
                  <pic:nvPicPr>
                    <pic:cNvPr id="0" name="citations_by_year.png"/>
                    <pic:cNvPicPr/>
                  </pic:nvPicPr>
                  <pic:blipFill>
                    <a:blip r:embed="rId14"/>
                    <a:stretch>
                      <a:fillRect/>
                    </a:stretch>
                  </pic:blipFill>
                  <pic:spPr>
                    <a:xfrm>
                      <a:off x="0" y="0"/>
                      <a:ext cx="5486400" cy="3266995"/>
                    </a:xfrm>
                    <a:prstGeom prst="rect"/>
                  </pic:spPr>
                </pic:pic>
              </a:graphicData>
            </a:graphic>
          </wp:inline>
        </w:drawing>
      </w:r>
    </w:p>
    <w:p>
      <w:r>
        <w:rPr>
          <w:b/>
          <w:sz w:val="20"/>
        </w:rPr>
        <w:t xml:space="preserve">Figure 5: Citations Stratified by Year: </w:t>
      </w:r>
      <w:r>
        <w:rPr>
          <w:color w:val="424242"/>
          <w:sz w:val="20"/>
        </w:rPr>
        <w:t>The data demonstrates a significant increase in total citations over time, peaking at approximately 17,500 in 2023, followed by a decrease to around 5,000 by 2025. Concurrently, the mean citations per paper peaked in 2021 at 80 and then declined sharply, reaching below 20 by 2025. This trend suggests a temporal shift in citation density per paper relative to the volume of publications.</w:t>
      </w:r>
    </w:p>
    <w:p/>
    <w:p>
      <w:pPr>
        <w:pStyle w:val="Heading2"/>
      </w:pPr>
      <w:r>
        <w:t>Figure 6: Callon Strategic Thematic Diagram</w:t>
      </w:r>
    </w:p>
    <w:p>
      <w:pPr>
        <w:jc w:val="center"/>
      </w:pPr>
      <w:r>
        <w:drawing>
          <wp:inline xmlns:a="http://schemas.openxmlformats.org/drawingml/2006/main" xmlns:pic="http://schemas.openxmlformats.org/drawingml/2006/picture">
            <wp:extent cx="5486400" cy="4573029"/>
            <wp:docPr id="7" name="Picture 7"/>
            <wp:cNvGraphicFramePr>
              <a:graphicFrameLocks noChangeAspect="1"/>
            </wp:cNvGraphicFramePr>
            <a:graphic>
              <a:graphicData uri="http://schemas.openxmlformats.org/drawingml/2006/picture">
                <pic:pic>
                  <pic:nvPicPr>
                    <pic:cNvPr id="0" name="strategic_diagram.png"/>
                    <pic:cNvPicPr/>
                  </pic:nvPicPr>
                  <pic:blipFill>
                    <a:blip r:embed="rId15"/>
                    <a:stretch>
                      <a:fillRect/>
                    </a:stretch>
                  </pic:blipFill>
                  <pic:spPr>
                    <a:xfrm>
                      <a:off x="0" y="0"/>
                      <a:ext cx="5486400" cy="4573029"/>
                    </a:xfrm>
                    <a:prstGeom prst="rect"/>
                  </pic:spPr>
                </pic:pic>
              </a:graphicData>
            </a:graphic>
          </wp:inline>
        </w:drawing>
      </w:r>
    </w:p>
    <w:p>
      <w:r>
        <w:rPr>
          <w:b/>
          <w:sz w:val="20"/>
        </w:rPr>
        <w:t xml:space="preserve">Figure 6: Callon Strategic Thematic Diagram: </w:t>
      </w:r>
      <w:r>
        <w:rPr>
          <w:color w:val="424242"/>
          <w:sz w:val="20"/>
        </w:rPr>
        <w:t>The Callon Strategic Thematic Diagram illustrates four thematic areas based on their density and centrality within the field of large language models in healthcare simulation. The "artificial intelligence / education" theme, identified as a motor theme, demonstrates high centrality and density, indicating its well-developed and crucial role. In contrast, the "artificial intelligence / computer science / medicine" theme is positioned in the emerging/declining quadrant with low centrality and density, suggesting its underdeveloped status. Additionally, the "large language models / medical / healthcare" theme appears as a basic theme with high centrality but low density, reflecting its importance but limited internal development.</w:t>
      </w:r>
    </w:p>
    <w:p/>
    <w:p>
      <w:pPr>
        <w:pStyle w:val="Heading2"/>
      </w:pPr>
      <w:r>
        <w:t>Figure 7: NTS Domain Frequencies</w:t>
      </w:r>
    </w:p>
    <w:p>
      <w:pPr>
        <w:jc w:val="center"/>
      </w:pPr>
      <w:r>
        <w:drawing>
          <wp:inline xmlns:a="http://schemas.openxmlformats.org/drawingml/2006/main" xmlns:pic="http://schemas.openxmlformats.org/drawingml/2006/picture">
            <wp:extent cx="5486400" cy="3259687"/>
            <wp:docPr id="8" name="Picture 8"/>
            <wp:cNvGraphicFramePr>
              <a:graphicFrameLocks noChangeAspect="1"/>
            </wp:cNvGraphicFramePr>
            <a:graphic>
              <a:graphicData uri="http://schemas.openxmlformats.org/drawingml/2006/picture">
                <pic:pic>
                  <pic:nvPicPr>
                    <pic:cNvPr id="0" name="nts_domain_frequencies.png"/>
                    <pic:cNvPicPr/>
                  </pic:nvPicPr>
                  <pic:blipFill>
                    <a:blip r:embed="rId16"/>
                    <a:stretch>
                      <a:fillRect/>
                    </a:stretch>
                  </pic:blipFill>
                  <pic:spPr>
                    <a:xfrm>
                      <a:off x="0" y="0"/>
                      <a:ext cx="5486400" cy="3259687"/>
                    </a:xfrm>
                    <a:prstGeom prst="rect"/>
                  </pic:spPr>
                </pic:pic>
              </a:graphicData>
            </a:graphic>
          </wp:inline>
        </w:drawing>
      </w:r>
    </w:p>
    <w:p>
      <w:r>
        <w:rPr>
          <w:b/>
          <w:sz w:val="20"/>
        </w:rPr>
        <w:t xml:space="preserve">Figure 7: NTS Domain Frequencies: </w:t>
      </w:r>
      <w:r>
        <w:rPr>
          <w:color w:val="424242"/>
          <w:sz w:val="20"/>
        </w:rPr>
        <w:t>The analysis of non-technical skills (NTS) domain frequencies reveals that "Decision-making" is the most frequently addressed skill, featured in 889 papers. This is followed by "Communication," with 612 papers, and "Teamwork," with 374 papers. Other domains such as "Leadership" and "Stress management" have frequencies of 234 and 147 papers, respectively, while "CRM" has the lowest representation at 4 papers.</w:t>
      </w:r>
    </w:p>
    <w:p/>
    <w:p>
      <w:pPr>
        <w:pStyle w:val="Heading2"/>
      </w:pPr>
      <w:r>
        <w:t>Figure 8: NTS Domain Temporal Heatmap</w:t>
      </w:r>
    </w:p>
    <w:p>
      <w:pPr>
        <w:jc w:val="center"/>
      </w:pPr>
      <w:r>
        <w:drawing>
          <wp:inline xmlns:a="http://schemas.openxmlformats.org/drawingml/2006/main" xmlns:pic="http://schemas.openxmlformats.org/drawingml/2006/picture">
            <wp:extent cx="5486400" cy="3585326"/>
            <wp:docPr id="9" name="Picture 9"/>
            <wp:cNvGraphicFramePr>
              <a:graphicFrameLocks noChangeAspect="1"/>
            </wp:cNvGraphicFramePr>
            <a:graphic>
              <a:graphicData uri="http://schemas.openxmlformats.org/drawingml/2006/picture">
                <pic:pic>
                  <pic:nvPicPr>
                    <pic:cNvPr id="0" name="nts_domain_year_heatmap.png"/>
                    <pic:cNvPicPr/>
                  </pic:nvPicPr>
                  <pic:blipFill>
                    <a:blip r:embed="rId17"/>
                    <a:stretch>
                      <a:fillRect/>
                    </a:stretch>
                  </pic:blipFill>
                  <pic:spPr>
                    <a:xfrm>
                      <a:off x="0" y="0"/>
                      <a:ext cx="5486400" cy="3585326"/>
                    </a:xfrm>
                    <a:prstGeom prst="rect"/>
                  </pic:spPr>
                </pic:pic>
              </a:graphicData>
            </a:graphic>
          </wp:inline>
        </w:drawing>
      </w:r>
    </w:p>
    <w:p>
      <w:r>
        <w:rPr>
          <w:b/>
          <w:sz w:val="20"/>
        </w:rPr>
        <w:t xml:space="preserve">Figure 8: NTS Domain Temporal Heatmap: </w:t>
      </w:r>
      <w:r>
        <w:rPr>
          <w:color w:val="424242"/>
          <w:sz w:val="20"/>
        </w:rPr>
        <w:t>The temporal heatmap illustrates a dynamic increase in research output related to non-technical skills (NTS) domains over the years 2020 to 2026, with notable peaks observed in decision-making and communication domains. Decision-making exhibits the highest publication count, reaching 453 papers in 2025, while communication follows closely with 302 papers in the same year. Other domains such as leadership and teamwork show moderate increases, peaking at 128 and 195 papers respectively, by 2025.</w:t>
      </w:r>
    </w:p>
    <w:p/>
    <w:p>
      <w:pPr>
        <w:pStyle w:val="Heading2"/>
      </w:pPr>
      <w:r>
        <w:t>Figure 9: Simulation x NTS Cross-Tabulation</w:t>
      </w:r>
    </w:p>
    <w:p>
      <w:pPr>
        <w:jc w:val="center"/>
      </w:pPr>
      <w:r>
        <w:drawing>
          <wp:inline xmlns:a="http://schemas.openxmlformats.org/drawingml/2006/main" xmlns:pic="http://schemas.openxmlformats.org/drawingml/2006/picture">
            <wp:extent cx="5486400" cy="3996958"/>
            <wp:docPr id="10" name="Picture 10"/>
            <wp:cNvGraphicFramePr>
              <a:graphicFrameLocks noChangeAspect="1"/>
            </wp:cNvGraphicFramePr>
            <a:graphic>
              <a:graphicData uri="http://schemas.openxmlformats.org/drawingml/2006/picture">
                <pic:pic>
                  <pic:nvPicPr>
                    <pic:cNvPr id="0" name="simulation_nts_crosstab.png"/>
                    <pic:cNvPicPr/>
                  </pic:nvPicPr>
                  <pic:blipFill>
                    <a:blip r:embed="rId18"/>
                    <a:stretch>
                      <a:fillRect/>
                    </a:stretch>
                  </pic:blipFill>
                  <pic:spPr>
                    <a:xfrm>
                      <a:off x="0" y="0"/>
                      <a:ext cx="5486400" cy="3996958"/>
                    </a:xfrm>
                    <a:prstGeom prst="rect"/>
                  </pic:spPr>
                </pic:pic>
              </a:graphicData>
            </a:graphic>
          </wp:inline>
        </w:drawing>
      </w:r>
    </w:p>
    <w:p>
      <w:r>
        <w:rPr>
          <w:b/>
          <w:sz w:val="20"/>
        </w:rPr>
        <w:t xml:space="preserve">Figure 9: Simulation x NTS Cross-Tabulation: </w:t>
      </w:r>
      <w:r>
        <w:rPr>
          <w:color w:val="424242"/>
          <w:sz w:val="20"/>
        </w:rPr>
        <w:t>The cross-tabulation in Figure 9 highlights the distribution of paper counts across various simulation types and non-technical skill (NTS) domains. Virtual reality/mixed reality/extended reality (VR/MR/XR) simulations are most frequently associated with communication, situational awareness, and teamwork domains, with paper counts of 168, 99, and 157, respectively. Scenario-based simulations also prominently focus on decision-making, with a paper count of 115, underscoring the differential emphasis of each simulation type on specific NTS domains.</w:t>
      </w:r>
    </w:p>
    <w:p/>
    <w:p>
      <w:pPr>
        <w:pStyle w:val="Heading2"/>
      </w:pPr>
      <w:r>
        <w:t>Figure 10: Simulation Type Frequencies</w:t>
      </w:r>
    </w:p>
    <w:p>
      <w:pPr>
        <w:jc w:val="center"/>
      </w:pPr>
      <w:r>
        <w:drawing>
          <wp:inline xmlns:a="http://schemas.openxmlformats.org/drawingml/2006/main" xmlns:pic="http://schemas.openxmlformats.org/drawingml/2006/picture">
            <wp:extent cx="5486400" cy="3465095"/>
            <wp:docPr id="11" name="Picture 11"/>
            <wp:cNvGraphicFramePr>
              <a:graphicFrameLocks noChangeAspect="1"/>
            </wp:cNvGraphicFramePr>
            <a:graphic>
              <a:graphicData uri="http://schemas.openxmlformats.org/drawingml/2006/picture">
                <pic:pic>
                  <pic:nvPicPr>
                    <pic:cNvPr id="0" name="simulation_type_frequencies.png"/>
                    <pic:cNvPicPr/>
                  </pic:nvPicPr>
                  <pic:blipFill>
                    <a:blip r:embed="rId19"/>
                    <a:stretch>
                      <a:fillRect/>
                    </a:stretch>
                  </pic:blipFill>
                  <pic:spPr>
                    <a:xfrm>
                      <a:off x="0" y="0"/>
                      <a:ext cx="5486400" cy="3465095"/>
                    </a:xfrm>
                    <a:prstGeom prst="rect"/>
                  </pic:spPr>
                </pic:pic>
              </a:graphicData>
            </a:graphic>
          </wp:inline>
        </w:drawing>
      </w:r>
    </w:p>
    <w:p>
      <w:r>
        <w:rPr>
          <w:b/>
          <w:sz w:val="20"/>
        </w:rPr>
        <w:t xml:space="preserve">Figure 10: Simulation Type Frequencies: </w:t>
      </w:r>
      <w:r>
        <w:rPr>
          <w:color w:val="424242"/>
          <w:sz w:val="20"/>
        </w:rPr>
        <w:t>Virtual, mixed, and extended reality (VR/MR/XR) simulations are the most frequently discussed types in healthcare simulation literature, with 687 papers mentioning them in their titles and abstracts. Scenario-based simulations follow with 406 papers, and virtual patient/chatbots are noted in 299 papers. In contrast, roleplay simulations are mentioned the least, appearing in 42 papers.</w:t>
      </w:r>
    </w:p>
    <w:p/>
    <w:p>
      <w:pPr>
        <w:pStyle w:val="Heading2"/>
      </w:pPr>
      <w:r>
        <w:t>Figure 11: LLM Model Mention Frequencies</w:t>
      </w:r>
    </w:p>
    <w:p>
      <w:pPr>
        <w:jc w:val="center"/>
      </w:pPr>
      <w:r>
        <w:drawing>
          <wp:inline xmlns:a="http://schemas.openxmlformats.org/drawingml/2006/main" xmlns:pic="http://schemas.openxmlformats.org/drawingml/2006/picture">
            <wp:extent cx="5486400" cy="3185006"/>
            <wp:docPr id="12" name="Picture 12"/>
            <wp:cNvGraphicFramePr>
              <a:graphicFrameLocks noChangeAspect="1"/>
            </wp:cNvGraphicFramePr>
            <a:graphic>
              <a:graphicData uri="http://schemas.openxmlformats.org/drawingml/2006/picture">
                <pic:pic>
                  <pic:nvPicPr>
                    <pic:cNvPr id="0" name="llm_model_frequencies.png"/>
                    <pic:cNvPicPr/>
                  </pic:nvPicPr>
                  <pic:blipFill>
                    <a:blip r:embed="rId20"/>
                    <a:stretch>
                      <a:fillRect/>
                    </a:stretch>
                  </pic:blipFill>
                  <pic:spPr>
                    <a:xfrm>
                      <a:off x="0" y="0"/>
                      <a:ext cx="5486400" cy="3185006"/>
                    </a:xfrm>
                    <a:prstGeom prst="rect"/>
                  </pic:spPr>
                </pic:pic>
              </a:graphicData>
            </a:graphic>
          </wp:inline>
        </w:drawing>
      </w:r>
    </w:p>
    <w:p>
      <w:r>
        <w:rPr>
          <w:b/>
          <w:sz w:val="20"/>
        </w:rPr>
        <w:t xml:space="preserve">Figure 11: LLM Model Mention Frequencies: </w:t>
      </w:r>
      <w:r>
        <w:rPr>
          <w:color w:val="424242"/>
          <w:sz w:val="20"/>
        </w:rPr>
        <w:t>The analysis in Figure 11 reveals that "ChatGPT (generic)" is overwhelmingly the most frequently mentioned LLM model in the corpus, with 778 papers, categorized under proprietary models. In contrast, the next most common category, "Generic LLM," accounts for 275 mentions, demonstrating a significant interest in unspecified large language models. Among the specific proprietary models, GPT-4 is referenced 217 times, while open-source models like Llama have only 48 mentions, indicating a predominant focus on proprietary models in the current literature.</w:t>
      </w:r>
    </w:p>
    <w:p/>
    <w:p>
      <w:pPr>
        <w:pStyle w:val="Heading2"/>
      </w:pPr>
      <w:r>
        <w:t>Figure 12: Proprietary vs Open-Source LLM Split</w:t>
      </w:r>
    </w:p>
    <w:p>
      <w:pPr>
        <w:jc w:val="center"/>
      </w:pPr>
      <w:r>
        <w:drawing>
          <wp:inline xmlns:a="http://schemas.openxmlformats.org/drawingml/2006/main" xmlns:pic="http://schemas.openxmlformats.org/drawingml/2006/picture">
            <wp:extent cx="5486400" cy="5108794"/>
            <wp:docPr id="13" name="Picture 13"/>
            <wp:cNvGraphicFramePr>
              <a:graphicFrameLocks noChangeAspect="1"/>
            </wp:cNvGraphicFramePr>
            <a:graphic>
              <a:graphicData uri="http://schemas.openxmlformats.org/drawingml/2006/picture">
                <pic:pic>
                  <pic:nvPicPr>
                    <pic:cNvPr id="0" name="llm_proprietary_vs_opensource.png"/>
                    <pic:cNvPicPr/>
                  </pic:nvPicPr>
                  <pic:blipFill>
                    <a:blip r:embed="rId21"/>
                    <a:stretch>
                      <a:fillRect/>
                    </a:stretch>
                  </pic:blipFill>
                  <pic:spPr>
                    <a:xfrm>
                      <a:off x="0" y="0"/>
                      <a:ext cx="5486400" cy="5108794"/>
                    </a:xfrm>
                    <a:prstGeom prst="rect"/>
                  </pic:spPr>
                </pic:pic>
              </a:graphicData>
            </a:graphic>
          </wp:inline>
        </w:drawing>
      </w:r>
    </w:p>
    <w:p>
      <w:r>
        <w:rPr>
          <w:b/>
          <w:sz w:val="20"/>
        </w:rPr>
        <w:t xml:space="preserve">Figure 12: Proprietary vs Open-Source LLM Split: </w:t>
      </w:r>
      <w:r>
        <w:rPr>
          <w:color w:val="424242"/>
          <w:sz w:val="20"/>
        </w:rPr>
        <w:t>The analysis depicted in Figure 12 reveals that 57.2% of the articles do not mention any Large Language Models (LLMs), while 32.0% specifically mention proprietary LLMs. A smaller proportion, 9.2%, refer to generic LLMs without specifying whether they are proprietary or open-source. Notably, only 0.5% of mentions are for open-source LLMs exclusively, with a negligible 0.2% mentioning both proprietary and open-source models.</w:t>
      </w:r>
    </w:p>
    <w:p/>
    <w:p>
      <w:pPr>
        <w:pStyle w:val="Heading2"/>
      </w:pPr>
      <w:r>
        <w:t>Figure 13: LLM Model Temporal Trends</w:t>
      </w:r>
    </w:p>
    <w:p>
      <w:pPr>
        <w:jc w:val="center"/>
      </w:pPr>
      <w:r>
        <w:drawing>
          <wp:inline xmlns:a="http://schemas.openxmlformats.org/drawingml/2006/main" xmlns:pic="http://schemas.openxmlformats.org/drawingml/2006/picture">
            <wp:extent cx="5486400" cy="3177309"/>
            <wp:docPr id="14" name="Picture 14"/>
            <wp:cNvGraphicFramePr>
              <a:graphicFrameLocks noChangeAspect="1"/>
            </wp:cNvGraphicFramePr>
            <a:graphic>
              <a:graphicData uri="http://schemas.openxmlformats.org/drawingml/2006/picture">
                <pic:pic>
                  <pic:nvPicPr>
                    <pic:cNvPr id="0" name="llm_model_trends.png"/>
                    <pic:cNvPicPr/>
                  </pic:nvPicPr>
                  <pic:blipFill>
                    <a:blip r:embed="rId22"/>
                    <a:stretch>
                      <a:fillRect/>
                    </a:stretch>
                  </pic:blipFill>
                  <pic:spPr>
                    <a:xfrm>
                      <a:off x="0" y="0"/>
                      <a:ext cx="5486400" cy="3177309"/>
                    </a:xfrm>
                    <a:prstGeom prst="rect"/>
                  </pic:spPr>
                </pic:pic>
              </a:graphicData>
            </a:graphic>
          </wp:inline>
        </w:drawing>
      </w:r>
    </w:p>
    <w:p>
      <w:r>
        <w:rPr>
          <w:b/>
          <w:sz w:val="20"/>
        </w:rPr>
        <w:t xml:space="preserve">Figure 13: LLM Model Temporal Trends: </w:t>
      </w:r>
      <w:r>
        <w:rPr>
          <w:color w:val="424242"/>
          <w:sz w:val="20"/>
        </w:rPr>
        <w:t>The temporal trends of LLM model mentions from 2023 to 2026 demonstrate a significant increase in the number of papers for ChatGPT (generic), peaking at over 300 mentions in 2025 before declining sharply in 2026. GPT-4 exhibits steady growth, reaching around 75 mentions by 2025, alongside Gemini, which also rises to nearly 75 mentions. Other models such as Claude, GPT-3.5, and Llama show more modest increases, maintaining mentions between 20 and 40 by 2025, with a slight decrease for most models in 2026.</w:t>
      </w:r>
    </w:p>
    <w:p/>
    <w:p>
      <w:pPr>
        <w:pStyle w:val="Heading2"/>
      </w:pPr>
      <w:r>
        <w:t>Figure 14: Top 20 Countries</w:t>
      </w:r>
    </w:p>
    <w:p>
      <w:pPr>
        <w:jc w:val="center"/>
      </w:pPr>
      <w:r>
        <w:drawing>
          <wp:inline xmlns:a="http://schemas.openxmlformats.org/drawingml/2006/main" xmlns:pic="http://schemas.openxmlformats.org/drawingml/2006/picture">
            <wp:extent cx="5486400" cy="4368424"/>
            <wp:docPr id="15" name="Picture 15"/>
            <wp:cNvGraphicFramePr>
              <a:graphicFrameLocks noChangeAspect="1"/>
            </wp:cNvGraphicFramePr>
            <a:graphic>
              <a:graphicData uri="http://schemas.openxmlformats.org/drawingml/2006/picture">
                <pic:pic>
                  <pic:nvPicPr>
                    <pic:cNvPr id="0" name="top_countries.png"/>
                    <pic:cNvPicPr/>
                  </pic:nvPicPr>
                  <pic:blipFill>
                    <a:blip r:embed="rId23"/>
                    <a:stretch>
                      <a:fillRect/>
                    </a:stretch>
                  </pic:blipFill>
                  <pic:spPr>
                    <a:xfrm>
                      <a:off x="0" y="0"/>
                      <a:ext cx="5486400" cy="4368424"/>
                    </a:xfrm>
                    <a:prstGeom prst="rect"/>
                  </pic:spPr>
                </pic:pic>
              </a:graphicData>
            </a:graphic>
          </wp:inline>
        </w:drawing>
      </w:r>
    </w:p>
    <w:p>
      <w:r>
        <w:rPr>
          <w:b/>
          <w:sz w:val="20"/>
        </w:rPr>
        <w:t xml:space="preserve">Figure 14: Top 20 Countries: </w:t>
      </w:r>
      <w:r>
        <w:rPr>
          <w:color w:val="424242"/>
          <w:sz w:val="20"/>
        </w:rPr>
        <w:t>The United States leads the publication count in the field of large language models in healthcare simulation with 239 papers, significantly ahead of China, which has 168 publications. The United Kingdom and India follow with 74 and 63 papers, respectively. This indicates a dominant contribution by the United States and China in this research domain. The distribution shows a steep decline in publication count after these two countries, with the remaining countries having less than 75 publications each.</w:t>
      </w:r>
    </w:p>
    <w:p/>
    <w:p>
      <w:pPr>
        <w:pStyle w:val="Heading2"/>
      </w:pPr>
      <w:r>
        <w:t>Figure 15: Continental Distribution</w:t>
      </w:r>
    </w:p>
    <w:p>
      <w:pPr>
        <w:jc w:val="center"/>
      </w:pPr>
      <w:r>
        <w:drawing>
          <wp:inline xmlns:a="http://schemas.openxmlformats.org/drawingml/2006/main" xmlns:pic="http://schemas.openxmlformats.org/drawingml/2006/picture">
            <wp:extent cx="5486400" cy="5608320"/>
            <wp:docPr id="16" name="Picture 16"/>
            <wp:cNvGraphicFramePr>
              <a:graphicFrameLocks noChangeAspect="1"/>
            </wp:cNvGraphicFramePr>
            <a:graphic>
              <a:graphicData uri="http://schemas.openxmlformats.org/drawingml/2006/picture">
                <pic:pic>
                  <pic:nvPicPr>
                    <pic:cNvPr id="0" name="continent_distribution.png"/>
                    <pic:cNvPicPr/>
                  </pic:nvPicPr>
                  <pic:blipFill>
                    <a:blip r:embed="rId24"/>
                    <a:stretch>
                      <a:fillRect/>
                    </a:stretch>
                  </pic:blipFill>
                  <pic:spPr>
                    <a:xfrm>
                      <a:off x="0" y="0"/>
                      <a:ext cx="5486400" cy="5608320"/>
                    </a:xfrm>
                    <a:prstGeom prst="rect"/>
                  </pic:spPr>
                </pic:pic>
              </a:graphicData>
            </a:graphic>
          </wp:inline>
        </w:drawing>
      </w:r>
    </w:p>
    <w:p>
      <w:r>
        <w:rPr>
          <w:b/>
          <w:sz w:val="20"/>
        </w:rPr>
        <w:t xml:space="preserve">Figure 15: Continental Distribution: </w:t>
      </w:r>
      <w:r>
        <w:rPr>
          <w:color w:val="424242"/>
          <w:sz w:val="20"/>
        </w:rPr>
        <w:t>The continental distribution of authorships indicates a predominance from Asia and Europe, accounting for 31.5% and 28.0% of the total, respectively. North America follows with 23.0%, while the Middle East contributes 9.8%. Other regions, including Oceania, Africa, and South America, represent smaller portions, with 3.4%, 2.5%, and 1.8%, respectively, illustrating a notably lower participation in authorships within the field.</w:t>
      </w:r>
    </w:p>
    <w:p/>
    <w:p>
      <w:pPr>
        <w:pStyle w:val="Heading2"/>
      </w:pPr>
      <w:r>
        <w:t>Figure 16: Top 20 Most Prolific Authors</w:t>
      </w:r>
    </w:p>
    <w:p>
      <w:pPr>
        <w:jc w:val="center"/>
      </w:pPr>
      <w:r>
        <w:drawing>
          <wp:inline xmlns:a="http://schemas.openxmlformats.org/drawingml/2006/main" xmlns:pic="http://schemas.openxmlformats.org/drawingml/2006/picture">
            <wp:extent cx="5486400" cy="4366576"/>
            <wp:docPr id="17" name="Picture 17"/>
            <wp:cNvGraphicFramePr>
              <a:graphicFrameLocks noChangeAspect="1"/>
            </wp:cNvGraphicFramePr>
            <a:graphic>
              <a:graphicData uri="http://schemas.openxmlformats.org/drawingml/2006/picture">
                <pic:pic>
                  <pic:nvPicPr>
                    <pic:cNvPr id="0" name="top_authors.png"/>
                    <pic:cNvPicPr/>
                  </pic:nvPicPr>
                  <pic:blipFill>
                    <a:blip r:embed="rId25"/>
                    <a:stretch>
                      <a:fillRect/>
                    </a:stretch>
                  </pic:blipFill>
                  <pic:spPr>
                    <a:xfrm>
                      <a:off x="0" y="0"/>
                      <a:ext cx="5486400" cy="4366576"/>
                    </a:xfrm>
                    <a:prstGeom prst="rect"/>
                  </pic:spPr>
                </pic:pic>
              </a:graphicData>
            </a:graphic>
          </wp:inline>
        </w:drawing>
      </w:r>
    </w:p>
    <w:p>
      <w:r>
        <w:rPr>
          <w:b/>
          <w:sz w:val="20"/>
        </w:rPr>
        <w:t xml:space="preserve">Figure 16: Top 20 Most Prolific Authors: </w:t>
      </w:r>
      <w:r>
        <w:rPr>
          <w:color w:val="424242"/>
          <w:sz w:val="20"/>
        </w:rPr>
        <w:t>Among the top 20 most prolific authors in the bibliometric analysis, "Wang, Y" leads with 42 publications. Following closely are "Li, Y" with 35 papers, and both "Liu, Y" and "Li, X" contributing 29 papers each. These authors demonstrate substantial productivity in the field, highlighting potential key contributors to research outputs.</w:t>
      </w:r>
    </w:p>
    <w:p/>
    <w:p>
      <w:pPr>
        <w:pStyle w:val="Heading2"/>
      </w:pPr>
      <w:r>
        <w:t>Figure 17: Author Productivity Distribution</w:t>
      </w:r>
    </w:p>
    <w:p>
      <w:pPr>
        <w:jc w:val="center"/>
      </w:pPr>
      <w:r>
        <w:drawing>
          <wp:inline xmlns:a="http://schemas.openxmlformats.org/drawingml/2006/main" xmlns:pic="http://schemas.openxmlformats.org/drawingml/2006/picture">
            <wp:extent cx="5486400" cy="3241795"/>
            <wp:docPr id="18" name="Picture 18"/>
            <wp:cNvGraphicFramePr>
              <a:graphicFrameLocks noChangeAspect="1"/>
            </wp:cNvGraphicFramePr>
            <a:graphic>
              <a:graphicData uri="http://schemas.openxmlformats.org/drawingml/2006/picture">
                <pic:pic>
                  <pic:nvPicPr>
                    <pic:cNvPr id="0" name="author_productivity.png"/>
                    <pic:cNvPicPr/>
                  </pic:nvPicPr>
                  <pic:blipFill>
                    <a:blip r:embed="rId26"/>
                    <a:stretch>
                      <a:fillRect/>
                    </a:stretch>
                  </pic:blipFill>
                  <pic:spPr>
                    <a:xfrm>
                      <a:off x="0" y="0"/>
                      <a:ext cx="5486400" cy="3241795"/>
                    </a:xfrm>
                    <a:prstGeom prst="rect"/>
                  </pic:spPr>
                </pic:pic>
              </a:graphicData>
            </a:graphic>
          </wp:inline>
        </w:drawing>
      </w:r>
    </w:p>
    <w:p>
      <w:r>
        <w:rPr>
          <w:b/>
          <w:sz w:val="20"/>
        </w:rPr>
        <w:t xml:space="preserve">Figure 17: Author Productivity Distribution: </w:t>
      </w:r>
      <w:r>
        <w:rPr>
          <w:color w:val="424242"/>
          <w:sz w:val="20"/>
        </w:rPr>
        <w:t>The author productivity distribution exhibits a typical Lotka's law pattern, where a large number of authors have contributed a single paper, while fewer authors have authored multiple papers. The data aligns closely with Lotka's law, as evidenced by a calculated exponent (beta) of 2.60 and a high goodness-of-fit (R²) value of 0.955, indicating strong adherence to the expected distribution, with an expected beta of approximately 2.0. This distribution suggests a skewed author contribution, characteristic of a field dominated by a few prolific authors.</w:t>
      </w:r>
    </w:p>
    <w:p/>
    <w:p>
      <w:pPr>
        <w:pStyle w:val="Heading2"/>
      </w:pPr>
      <w:r>
        <w:t>Figure 18: Lotka's Law Test</w:t>
      </w:r>
    </w:p>
    <w:p>
      <w:pPr>
        <w:jc w:val="center"/>
      </w:pPr>
      <w:r>
        <w:drawing>
          <wp:inline xmlns:a="http://schemas.openxmlformats.org/drawingml/2006/main" xmlns:pic="http://schemas.openxmlformats.org/drawingml/2006/picture">
            <wp:extent cx="5486400" cy="4089271"/>
            <wp:docPr id="19" name="Picture 19"/>
            <wp:cNvGraphicFramePr>
              <a:graphicFrameLocks noChangeAspect="1"/>
            </wp:cNvGraphicFramePr>
            <a:graphic>
              <a:graphicData uri="http://schemas.openxmlformats.org/drawingml/2006/picture">
                <pic:pic>
                  <pic:nvPicPr>
                    <pic:cNvPr id="0" name="lotkas_law.png"/>
                    <pic:cNvPicPr/>
                  </pic:nvPicPr>
                  <pic:blipFill>
                    <a:blip r:embed="rId27"/>
                    <a:stretch>
                      <a:fillRect/>
                    </a:stretch>
                  </pic:blipFill>
                  <pic:spPr>
                    <a:xfrm>
                      <a:off x="0" y="0"/>
                      <a:ext cx="5486400" cy="4089271"/>
                    </a:xfrm>
                    <a:prstGeom prst="rect"/>
                  </pic:spPr>
                </pic:pic>
              </a:graphicData>
            </a:graphic>
          </wp:inline>
        </w:drawing>
      </w:r>
    </w:p>
    <w:p>
      <w:r>
        <w:rPr>
          <w:b/>
          <w:sz w:val="20"/>
        </w:rPr>
        <w:t xml:space="preserve">Figure 18: Lotka's Law Test: </w:t>
      </w:r>
      <w:r>
        <w:rPr>
          <w:color w:val="424242"/>
          <w:sz w:val="20"/>
        </w:rPr>
        <w:t>The plot illustrates a test of Lotka's Law by displaying a linear relationship between the logarithm of papers per author and the logarithm of the proportion of authors, with the observed data (orange dots) closely following an ordinary least squares (OLS) fit line. The observed beta coefficient is 2.60, and the R-squared value is 0.955, indicating a strong fit and suggesting that Lotka's Law appropriately describes the author productivity distribution in this bibliometric dataset.</w:t>
      </w:r>
    </w:p>
    <w:p/>
    <w:p>
      <w:pPr>
        <w:pStyle w:val="Heading2"/>
      </w:pPr>
      <w:r>
        <w:t>Figure 19: Collaboration Index</w:t>
      </w:r>
    </w:p>
    <w:p>
      <w:pPr>
        <w:jc w:val="center"/>
      </w:pPr>
      <w:r>
        <w:drawing>
          <wp:inline xmlns:a="http://schemas.openxmlformats.org/drawingml/2006/main" xmlns:pic="http://schemas.openxmlformats.org/drawingml/2006/picture">
            <wp:extent cx="5486400" cy="3261483"/>
            <wp:docPr id="20" name="Picture 20"/>
            <wp:cNvGraphicFramePr>
              <a:graphicFrameLocks noChangeAspect="1"/>
            </wp:cNvGraphicFramePr>
            <a:graphic>
              <a:graphicData uri="http://schemas.openxmlformats.org/drawingml/2006/picture">
                <pic:pic>
                  <pic:nvPicPr>
                    <pic:cNvPr id="0" name="collaboration_index.png"/>
                    <pic:cNvPicPr/>
                  </pic:nvPicPr>
                  <pic:blipFill>
                    <a:blip r:embed="rId28"/>
                    <a:stretch>
                      <a:fillRect/>
                    </a:stretch>
                  </pic:blipFill>
                  <pic:spPr>
                    <a:xfrm>
                      <a:off x="0" y="0"/>
                      <a:ext cx="5486400" cy="3261483"/>
                    </a:xfrm>
                    <a:prstGeom prst="rect"/>
                  </pic:spPr>
                </pic:pic>
              </a:graphicData>
            </a:graphic>
          </wp:inline>
        </w:drawing>
      </w:r>
    </w:p>
    <w:p>
      <w:r>
        <w:rPr>
          <w:b/>
          <w:sz w:val="20"/>
        </w:rPr>
        <w:t xml:space="preserve">Figure 19: Collaboration Index: </w:t>
      </w:r>
      <w:r>
        <w:rPr>
          <w:color w:val="424242"/>
          <w:sz w:val="20"/>
        </w:rPr>
        <w:t>The collaboration index, measured as the mean number of authors per paper, demonstrates variability across the years 2020 to 2026. There is a notable peak in 2023, where the mean number of authors per paper reaches approximately 6.2, significantly above the overall mean of 5.51. Following this peak, a decline is observed, with the collaboration index dropping to its lowest point in 2026 at around 4.7 authors per paper.</w:t>
      </w:r>
    </w:p>
    <w:p/>
    <w:p>
      <w:pPr>
        <w:pStyle w:val="Heading2"/>
      </w:pPr>
      <w:r>
        <w:t>Figure 20: Top 20 Journals/Sources</w:t>
      </w:r>
    </w:p>
    <w:p>
      <w:pPr>
        <w:jc w:val="center"/>
      </w:pPr>
      <w:r>
        <w:drawing>
          <wp:inline xmlns:a="http://schemas.openxmlformats.org/drawingml/2006/main" xmlns:pic="http://schemas.openxmlformats.org/drawingml/2006/picture">
            <wp:extent cx="5486400" cy="4095958"/>
            <wp:docPr id="21" name="Picture 21"/>
            <wp:cNvGraphicFramePr>
              <a:graphicFrameLocks noChangeAspect="1"/>
            </wp:cNvGraphicFramePr>
            <a:graphic>
              <a:graphicData uri="http://schemas.openxmlformats.org/drawingml/2006/picture">
                <pic:pic>
                  <pic:nvPicPr>
                    <pic:cNvPr id="0" name="top_journals.png"/>
                    <pic:cNvPicPr/>
                  </pic:nvPicPr>
                  <pic:blipFill>
                    <a:blip r:embed="rId29"/>
                    <a:stretch>
                      <a:fillRect/>
                    </a:stretch>
                  </pic:blipFill>
                  <pic:spPr>
                    <a:xfrm>
                      <a:off x="0" y="0"/>
                      <a:ext cx="5486400" cy="4095958"/>
                    </a:xfrm>
                    <a:prstGeom prst="rect"/>
                  </pic:spPr>
                </pic:pic>
              </a:graphicData>
            </a:graphic>
          </wp:inline>
        </w:drawing>
      </w:r>
    </w:p>
    <w:p>
      <w:r>
        <w:rPr>
          <w:b/>
          <w:sz w:val="20"/>
        </w:rPr>
        <w:t xml:space="preserve">Figure 20: Top 20 Journals/Sources: </w:t>
      </w:r>
      <w:r>
        <w:rPr>
          <w:color w:val="424242"/>
          <w:sz w:val="20"/>
        </w:rPr>
        <w:t>The figure illustrates the distribution of papers across the top 20 journals and sources in the field under analysis. Notably, "arXiv (Cornell University)" and "Cureus" lead with 85 and 83 papers, respectively, indicating their significant contributions to the literature. Other prominent sources include "arXiv.org" (35 and 33 papers) and "JMIR Medical Education" alongside "BMC Medical Education" both contributing 29 papers each.</w:t>
      </w:r>
    </w:p>
    <w:p/>
    <w:p>
      <w:pPr>
        <w:pStyle w:val="Heading2"/>
      </w:pPr>
      <w:r>
        <w:t>Figure 21: Bradford's Law Zones</w:t>
      </w:r>
    </w:p>
    <w:p>
      <w:pPr>
        <w:jc w:val="center"/>
      </w:pPr>
      <w:r>
        <w:drawing>
          <wp:inline xmlns:a="http://schemas.openxmlformats.org/drawingml/2006/main" xmlns:pic="http://schemas.openxmlformats.org/drawingml/2006/picture">
            <wp:extent cx="5486400" cy="3261483"/>
            <wp:docPr id="22" name="Picture 22"/>
            <wp:cNvGraphicFramePr>
              <a:graphicFrameLocks noChangeAspect="1"/>
            </wp:cNvGraphicFramePr>
            <a:graphic>
              <a:graphicData uri="http://schemas.openxmlformats.org/drawingml/2006/picture">
                <pic:pic>
                  <pic:nvPicPr>
                    <pic:cNvPr id="0" name="bradford_law.png"/>
                    <pic:cNvPicPr/>
                  </pic:nvPicPr>
                  <pic:blipFill>
                    <a:blip r:embed="rId30"/>
                    <a:stretch>
                      <a:fillRect/>
                    </a:stretch>
                  </pic:blipFill>
                  <pic:spPr>
                    <a:xfrm>
                      <a:off x="0" y="0"/>
                      <a:ext cx="5486400" cy="3261483"/>
                    </a:xfrm>
                    <a:prstGeom prst="rect"/>
                  </pic:spPr>
                </pic:pic>
              </a:graphicData>
            </a:graphic>
          </wp:inline>
        </w:drawing>
      </w:r>
    </w:p>
    <w:p>
      <w:r>
        <w:rPr>
          <w:b/>
          <w:sz w:val="20"/>
        </w:rPr>
        <w:t xml:space="preserve">Figure 21: Bradford's Law Zones: </w:t>
      </w:r>
      <w:r>
        <w:rPr>
          <w:color w:val="424242"/>
          <w:sz w:val="20"/>
        </w:rPr>
        <w:t>The distribution of papers according to Bradford's Law illustrates three distinct zones, each contributing nearly equal numbers of papers to the cumulative total. Zone 1, designated as the core, comprises 63 journals contributing 781 papers. Zone 2, the middle zone, consists of 457 journals with 777 papers, while Zone 3, representing the peripheral zone, includes 779 journals with 779 papers. The multipliers between zones show that Zone 2 journals are approximately 7.25 times more numerous than Zone 1, and Zone 3 journals are about 1.7 times more than Zone 2.</w:t>
      </w:r>
    </w:p>
    <w:p/>
    <w:p>
      <w:pPr>
        <w:pStyle w:val="Heading2"/>
      </w:pPr>
      <w:r>
        <w:t>Figure 22: Publication Type Distribution</w:t>
      </w:r>
    </w:p>
    <w:p>
      <w:pPr>
        <w:jc w:val="center"/>
      </w:pPr>
      <w:r>
        <w:drawing>
          <wp:inline xmlns:a="http://schemas.openxmlformats.org/drawingml/2006/main" xmlns:pic="http://schemas.openxmlformats.org/drawingml/2006/picture">
            <wp:extent cx="5486400" cy="17010212"/>
            <wp:docPr id="23" name="Picture 23"/>
            <wp:cNvGraphicFramePr>
              <a:graphicFrameLocks noChangeAspect="1"/>
            </wp:cNvGraphicFramePr>
            <a:graphic>
              <a:graphicData uri="http://schemas.openxmlformats.org/drawingml/2006/picture">
                <pic:pic>
                  <pic:nvPicPr>
                    <pic:cNvPr id="0" name="publication_types.png"/>
                    <pic:cNvPicPr/>
                  </pic:nvPicPr>
                  <pic:blipFill>
                    <a:blip r:embed="rId31"/>
                    <a:stretch>
                      <a:fillRect/>
                    </a:stretch>
                  </pic:blipFill>
                  <pic:spPr>
                    <a:xfrm>
                      <a:off x="0" y="0"/>
                      <a:ext cx="5486400" cy="17010212"/>
                    </a:xfrm>
                    <a:prstGeom prst="rect"/>
                  </pic:spPr>
                </pic:pic>
              </a:graphicData>
            </a:graphic>
          </wp:inline>
        </w:drawing>
      </w:r>
    </w:p>
    <w:p>
      <w:r>
        <w:rPr>
          <w:b/>
          <w:sz w:val="20"/>
        </w:rPr>
        <w:t xml:space="preserve">Figure 22: Publication Type Distribution: </w:t>
      </w:r>
      <w:r>
        <w:rPr>
          <w:color w:val="424242"/>
          <w:sz w:val="20"/>
        </w:rPr>
        <w:t>The figure illustrates the distribution of publication types in a bibliometric analysis, identifying "article" as the most prevalent category with 1,087 occurrences. This is followed by unspecified types with 396 occurrences and "Journal Article" with 292 occurrences. Other significant categories include "preprint" with 241 occurrences and "review" with 229. This distribution highlights the predominance of general articles in the dataset analyzed.</w:t>
      </w:r>
    </w:p>
    <w:p/>
    <w:p>
      <w:pPr>
        <w:pStyle w:val="Heading2"/>
      </w:pPr>
      <w:r>
        <w:t>Figure 23: Research Methods Distribution</w:t>
      </w:r>
    </w:p>
    <w:p>
      <w:pPr>
        <w:jc w:val="center"/>
      </w:pPr>
      <w:r>
        <w:drawing>
          <wp:inline xmlns:a="http://schemas.openxmlformats.org/drawingml/2006/main" xmlns:pic="http://schemas.openxmlformats.org/drawingml/2006/picture">
            <wp:extent cx="5486400" cy="3825872"/>
            <wp:docPr id="24" name="Picture 24"/>
            <wp:cNvGraphicFramePr>
              <a:graphicFrameLocks noChangeAspect="1"/>
            </wp:cNvGraphicFramePr>
            <a:graphic>
              <a:graphicData uri="http://schemas.openxmlformats.org/drawingml/2006/picture">
                <pic:pic>
                  <pic:nvPicPr>
                    <pic:cNvPr id="0" name="research_methods.png"/>
                    <pic:cNvPicPr/>
                  </pic:nvPicPr>
                  <pic:blipFill>
                    <a:blip r:embed="rId32"/>
                    <a:stretch>
                      <a:fillRect/>
                    </a:stretch>
                  </pic:blipFill>
                  <pic:spPr>
                    <a:xfrm>
                      <a:off x="0" y="0"/>
                      <a:ext cx="5486400" cy="3825872"/>
                    </a:xfrm>
                    <a:prstGeom prst="rect"/>
                  </pic:spPr>
                </pic:pic>
              </a:graphicData>
            </a:graphic>
          </wp:inline>
        </w:drawing>
      </w:r>
    </w:p>
    <w:p>
      <w:r>
        <w:rPr>
          <w:b/>
          <w:sz w:val="20"/>
        </w:rPr>
        <w:t xml:space="preserve">Figure 23: Research Methods Distribution: </w:t>
      </w:r>
      <w:r>
        <w:rPr>
          <w:color w:val="424242"/>
          <w:sz w:val="20"/>
        </w:rPr>
        <w:t>The bibliometric analysis reveals that the most frequently utilized research method is the Development Study, accounting for 630 papers, followed closely by Comparative Study and Validation Study with 595 and 510 papers respectively. Cross-sectional Survey and Qualitative methods are also common, with 347 and 273 papers each. Conversely, less common methods include Quasi-experimental studies and Randomised Controlled Trials, with only 56 and 36 papers, indicating a lesser focus on these approaches within the literature.</w:t>
      </w:r>
    </w:p>
    <w:p/>
    <w:p>
      <w:pPr>
        <w:pStyle w:val="Heading2"/>
      </w:pPr>
      <w:r>
        <w:t>Figure 24: Top 30 Keywords</w:t>
      </w:r>
    </w:p>
    <w:p>
      <w:pPr>
        <w:jc w:val="center"/>
      </w:pPr>
      <w:r>
        <w:drawing>
          <wp:inline xmlns:a="http://schemas.openxmlformats.org/drawingml/2006/main" xmlns:pic="http://schemas.openxmlformats.org/drawingml/2006/picture">
            <wp:extent cx="5486400" cy="4921135"/>
            <wp:docPr id="25" name="Picture 25"/>
            <wp:cNvGraphicFramePr>
              <a:graphicFrameLocks noChangeAspect="1"/>
            </wp:cNvGraphicFramePr>
            <a:graphic>
              <a:graphicData uri="http://schemas.openxmlformats.org/drawingml/2006/picture">
                <pic:pic>
                  <pic:nvPicPr>
                    <pic:cNvPr id="0" name="top_keywords.png"/>
                    <pic:cNvPicPr/>
                  </pic:nvPicPr>
                  <pic:blipFill>
                    <a:blip r:embed="rId33"/>
                    <a:stretch>
                      <a:fillRect/>
                    </a:stretch>
                  </pic:blipFill>
                  <pic:spPr>
                    <a:xfrm>
                      <a:off x="0" y="0"/>
                      <a:ext cx="5486400" cy="4921135"/>
                    </a:xfrm>
                    <a:prstGeom prst="rect"/>
                  </pic:spPr>
                </pic:pic>
              </a:graphicData>
            </a:graphic>
          </wp:inline>
        </w:drawing>
      </w:r>
    </w:p>
    <w:p>
      <w:r>
        <w:rPr>
          <w:b/>
          <w:sz w:val="20"/>
        </w:rPr>
        <w:t xml:space="preserve">Figure 24: Top 30 Keywords: </w:t>
      </w:r>
      <w:r>
        <w:rPr>
          <w:color w:val="424242"/>
          <w:sz w:val="20"/>
        </w:rPr>
        <w:t>The frequency analysis of the top 30 keywords reveals that "artificial intelligence" is the most prevalent, appearing 1106 times, followed by "computer science" with 1031 occurrences. "Medicine" and "psychology" also feature prominently, with frequencies of 927 and 611, respectively. Emerging technologies such as "chatgpt" and "virtual reality" are included, reflecting their growing significance in the discourse, with 254 and 231 mentions. This distribution highlights the interdisciplinary nature of research in healthcare simulation, integrating concepts from technology, education, and medical fields.</w:t>
      </w:r>
    </w:p>
    <w:p/>
    <w:p>
      <w:pPr>
        <w:pStyle w:val="Heading2"/>
      </w:pPr>
      <w:r>
        <w:t>Figure 25: Keyword Co-occurrence Network</w:t>
      </w:r>
    </w:p>
    <w:p>
      <w:pPr>
        <w:jc w:val="center"/>
      </w:pPr>
      <w:r>
        <w:drawing>
          <wp:inline xmlns:a="http://schemas.openxmlformats.org/drawingml/2006/main" xmlns:pic="http://schemas.openxmlformats.org/drawingml/2006/picture">
            <wp:extent cx="5486400" cy="4300969"/>
            <wp:docPr id="26" name="Picture 26"/>
            <wp:cNvGraphicFramePr>
              <a:graphicFrameLocks noChangeAspect="1"/>
            </wp:cNvGraphicFramePr>
            <a:graphic>
              <a:graphicData uri="http://schemas.openxmlformats.org/drawingml/2006/picture">
                <pic:pic>
                  <pic:nvPicPr>
                    <pic:cNvPr id="0" name="keyword_cooccurrence_network.png"/>
                    <pic:cNvPicPr/>
                  </pic:nvPicPr>
                  <pic:blipFill>
                    <a:blip r:embed="rId34"/>
                    <a:stretch>
                      <a:fillRect/>
                    </a:stretch>
                  </pic:blipFill>
                  <pic:spPr>
                    <a:xfrm>
                      <a:off x="0" y="0"/>
                      <a:ext cx="5486400" cy="4300969"/>
                    </a:xfrm>
                    <a:prstGeom prst="rect"/>
                  </pic:spPr>
                </pic:pic>
              </a:graphicData>
            </a:graphic>
          </wp:inline>
        </w:drawing>
      </w:r>
    </w:p>
    <w:p>
      <w:r>
        <w:rPr>
          <w:b/>
          <w:sz w:val="20"/>
        </w:rPr>
        <w:t xml:space="preserve">Figure 25: Keyword Co-occurrence Network: </w:t>
      </w:r>
      <w:r>
        <w:rPr>
          <w:color w:val="424242"/>
          <w:sz w:val="20"/>
        </w:rPr>
        <w:t>The keyword co-occurrence network analysis illustrates the interconnectedness of terms within the domain of large language models in healthcare simulation. Prominent keywords include "artificial intelligence," "medicine," and "medical education," which exhibit significant co-occurrence and centrality, indicating their prevalent association. Clusters of related topics such as "simulation training" and "virtual reality" highlight the interdisciplinary nature of the research focus, suggesting a diversified yet interconnected field.</w:t>
      </w:r>
    </w:p>
    <w:p/>
    <w:p>
      <w:pPr>
        <w:pStyle w:val="Heading2"/>
      </w:pPr>
      <w:r>
        <w:t>Figure 26: Keyword Word Cloud</w:t>
      </w:r>
    </w:p>
    <w:p>
      <w:pPr>
        <w:jc w:val="center"/>
      </w:pPr>
      <w:r>
        <w:drawing>
          <wp:inline xmlns:a="http://schemas.openxmlformats.org/drawingml/2006/main" xmlns:pic="http://schemas.openxmlformats.org/drawingml/2006/picture">
            <wp:extent cx="5486400" cy="3256750"/>
            <wp:docPr id="27" name="Picture 27"/>
            <wp:cNvGraphicFramePr>
              <a:graphicFrameLocks noChangeAspect="1"/>
            </wp:cNvGraphicFramePr>
            <a:graphic>
              <a:graphicData uri="http://schemas.openxmlformats.org/drawingml/2006/picture">
                <pic:pic>
                  <pic:nvPicPr>
                    <pic:cNvPr id="0" name="keyword_wordcloud.png"/>
                    <pic:cNvPicPr/>
                  </pic:nvPicPr>
                  <pic:blipFill>
                    <a:blip r:embed="rId35"/>
                    <a:stretch>
                      <a:fillRect/>
                    </a:stretch>
                  </pic:blipFill>
                  <pic:spPr>
                    <a:xfrm>
                      <a:off x="0" y="0"/>
                      <a:ext cx="5486400" cy="3256750"/>
                    </a:xfrm>
                    <a:prstGeom prst="rect"/>
                  </pic:spPr>
                </pic:pic>
              </a:graphicData>
            </a:graphic>
          </wp:inline>
        </w:drawing>
      </w:r>
    </w:p>
    <w:p>
      <w:r>
        <w:rPr>
          <w:b/>
          <w:sz w:val="20"/>
        </w:rPr>
        <w:t xml:space="preserve">Figure 26: Keyword Word Cloud: </w:t>
      </w:r>
      <w:r>
        <w:rPr>
          <w:color w:val="424242"/>
          <w:sz w:val="20"/>
        </w:rPr>
        <w:t>The word cloud illustrates the prominence of various keywords associated with large language models in healthcare simulation. Dominant terms include "artificial intelligence," "computer science," "medical education," and "healthcare," indicating these are significant areas of focus within the field. Other notable terms, such as "simulation," "virtual reality," and "natural language processing," suggest key technological and methodological approaches being explored.</w:t>
      </w:r>
    </w:p>
    <w:p/>
    <w:p>
      <w:pPr>
        <w:pStyle w:val="Heading2"/>
      </w:pPr>
      <w:r>
        <w:t>Figure 27: Urology Sub-Analysis Trends</w:t>
      </w:r>
    </w:p>
    <w:p>
      <w:pPr>
        <w:jc w:val="center"/>
      </w:pPr>
      <w:r>
        <w:drawing>
          <wp:inline xmlns:a="http://schemas.openxmlformats.org/drawingml/2006/main" xmlns:pic="http://schemas.openxmlformats.org/drawingml/2006/picture">
            <wp:extent cx="5486400" cy="3393027"/>
            <wp:docPr id="28" name="Picture 28"/>
            <wp:cNvGraphicFramePr>
              <a:graphicFrameLocks noChangeAspect="1"/>
            </wp:cNvGraphicFramePr>
            <a:graphic>
              <a:graphicData uri="http://schemas.openxmlformats.org/drawingml/2006/picture">
                <pic:pic>
                  <pic:nvPicPr>
                    <pic:cNvPr id="0" name="urology_trends.png"/>
                    <pic:cNvPicPr/>
                  </pic:nvPicPr>
                  <pic:blipFill>
                    <a:blip r:embed="rId36"/>
                    <a:stretch>
                      <a:fillRect/>
                    </a:stretch>
                  </pic:blipFill>
                  <pic:spPr>
                    <a:xfrm>
                      <a:off x="0" y="0"/>
                      <a:ext cx="5486400" cy="3393027"/>
                    </a:xfrm>
                    <a:prstGeom prst="rect"/>
                  </pic:spPr>
                </pic:pic>
              </a:graphicData>
            </a:graphic>
          </wp:inline>
        </w:drawing>
      </w:r>
    </w:p>
    <w:p>
      <w:r>
        <w:rPr>
          <w:b/>
          <w:sz w:val="20"/>
        </w:rPr>
        <w:t xml:space="preserve">Figure 27: Urology Sub-Analysis Trends: </w:t>
      </w:r>
      <w:r>
        <w:rPr>
          <w:color w:val="424242"/>
          <w:sz w:val="20"/>
        </w:rPr>
        <w:t>The figure illustrates a significant upward trend in urology-related large language model (LLM) simulation papers from 2020 to 2025, with a notable increase from 2 papers in both 2020 and 2021 to 40 papers in 2025. This growth is most pronounced between 2023 and 2025, where the number of papers rises sharply from 16 to 40. However, a decline is observed in 2026, with only 7 papers published.</w:t>
      </w:r>
    </w:p>
    <w:p/>
    <w:p>
      <w:pPr>
        <w:pStyle w:val="Heading2"/>
      </w:pPr>
      <w:r>
        <w:t>Figure 28: Source Database Distribution</w:t>
      </w:r>
    </w:p>
    <w:p>
      <w:pPr>
        <w:jc w:val="center"/>
      </w:pPr>
      <w:r>
        <w:drawing>
          <wp:inline xmlns:a="http://schemas.openxmlformats.org/drawingml/2006/main" xmlns:pic="http://schemas.openxmlformats.org/drawingml/2006/picture">
            <wp:extent cx="5486400" cy="2709882"/>
            <wp:docPr id="29" name="Picture 29"/>
            <wp:cNvGraphicFramePr>
              <a:graphicFrameLocks noChangeAspect="1"/>
            </wp:cNvGraphicFramePr>
            <a:graphic>
              <a:graphicData uri="http://schemas.openxmlformats.org/drawingml/2006/picture">
                <pic:pic>
                  <pic:nvPicPr>
                    <pic:cNvPr id="0" name="source_database_distribution.png"/>
                    <pic:cNvPicPr/>
                  </pic:nvPicPr>
                  <pic:blipFill>
                    <a:blip r:embed="rId37"/>
                    <a:stretch>
                      <a:fillRect/>
                    </a:stretch>
                  </pic:blipFill>
                  <pic:spPr>
                    <a:xfrm>
                      <a:off x="0" y="0"/>
                      <a:ext cx="5486400" cy="2709882"/>
                    </a:xfrm>
                    <a:prstGeom prst="rect"/>
                  </pic:spPr>
                </pic:pic>
              </a:graphicData>
            </a:graphic>
          </wp:inline>
        </w:drawing>
      </w:r>
    </w:p>
    <w:p>
      <w:r>
        <w:rPr>
          <w:b/>
          <w:sz w:val="20"/>
        </w:rPr>
        <w:t xml:space="preserve">Figure 28: Source Database Distribution: </w:t>
      </w:r>
      <w:r>
        <w:rPr>
          <w:color w:val="424242"/>
          <w:sz w:val="20"/>
        </w:rPr>
        <w:t>The distribution of papers across different source databases reveals that OpenAlex is the most substantial contributor, with 1,678 papers, significantly surpassing other databases. PubMed follows with 478 papers, and EuropePMC with 347 papers. Semantic Scholar, Crossref, and CORE contribute 258, 167, and 71 papers respectively, while DOAJ presents the least contribution with only 1 paper. This distribution indicates a predominant reliance on OpenAlex for sourcing papers in the bibliometric analysis.</w:t>
      </w:r>
    </w:p>
    <w:p/>
    <w:p>
      <w:pPr>
        <w:pStyle w:val="Heading2"/>
      </w:pPr>
      <w:r>
        <w:t>Figure 29: Screening Tier Distribution</w:t>
      </w:r>
    </w:p>
    <w:p>
      <w:pPr>
        <w:jc w:val="center"/>
      </w:pPr>
      <w:r>
        <w:drawing>
          <wp:inline xmlns:a="http://schemas.openxmlformats.org/drawingml/2006/main" xmlns:pic="http://schemas.openxmlformats.org/drawingml/2006/picture">
            <wp:extent cx="5486400" cy="3397669"/>
            <wp:docPr id="30" name="Picture 30"/>
            <wp:cNvGraphicFramePr>
              <a:graphicFrameLocks noChangeAspect="1"/>
            </wp:cNvGraphicFramePr>
            <a:graphic>
              <a:graphicData uri="http://schemas.openxmlformats.org/drawingml/2006/picture">
                <pic:pic>
                  <pic:nvPicPr>
                    <pic:cNvPr id="0" name="tier_distribution.png"/>
                    <pic:cNvPicPr/>
                  </pic:nvPicPr>
                  <pic:blipFill>
                    <a:blip r:embed="rId38"/>
                    <a:stretch>
                      <a:fillRect/>
                    </a:stretch>
                  </pic:blipFill>
                  <pic:spPr>
                    <a:xfrm>
                      <a:off x="0" y="0"/>
                      <a:ext cx="5486400" cy="3397669"/>
                    </a:xfrm>
                    <a:prstGeom prst="rect"/>
                  </pic:spPr>
                </pic:pic>
              </a:graphicData>
            </a:graphic>
          </wp:inline>
        </w:drawing>
      </w:r>
    </w:p>
    <w:p>
      <w:r>
        <w:rPr>
          <w:b/>
          <w:sz w:val="20"/>
        </w:rPr>
        <w:t xml:space="preserve">Figure 29: Screening Tier Distribution: </w:t>
      </w:r>
      <w:r>
        <w:rPr>
          <w:color w:val="424242"/>
          <w:sz w:val="20"/>
        </w:rPr>
        <w:t>The distribution of papers by screening tier reveals that Tier 2 comprises a larger portion, with 1,725 papers, compared to Tier 3, which includes 1,275 papers. This indicates a higher concentration of publications within Tier 2, suggesting a possible focus or priority in this specific screening category. The disparity signifies a difference of 450 papers between the two tiers.</w:t>
      </w:r>
    </w:p>
    <w:p/>
    <w:p>
      <w:pPr>
        <w:pStyle w:val="Heading2"/>
      </w:pPr>
      <w:r>
        <w:t>Figure 30: Document Type Distribution</w:t>
      </w:r>
    </w:p>
    <w:p>
      <w:pPr>
        <w:jc w:val="center"/>
      </w:pPr>
      <w:r>
        <w:drawing>
          <wp:inline xmlns:a="http://schemas.openxmlformats.org/drawingml/2006/main" xmlns:pic="http://schemas.openxmlformats.org/drawingml/2006/picture">
            <wp:extent cx="5486400" cy="3254206"/>
            <wp:docPr id="31" name="Picture 31"/>
            <wp:cNvGraphicFramePr>
              <a:graphicFrameLocks noChangeAspect="1"/>
            </wp:cNvGraphicFramePr>
            <a:graphic>
              <a:graphicData uri="http://schemas.openxmlformats.org/drawingml/2006/picture">
                <pic:pic>
                  <pic:nvPicPr>
                    <pic:cNvPr id="0" name="document_type_distribution.png"/>
                    <pic:cNvPicPr/>
                  </pic:nvPicPr>
                  <pic:blipFill>
                    <a:blip r:embed="rId39"/>
                    <a:stretch>
                      <a:fillRect/>
                    </a:stretch>
                  </pic:blipFill>
                  <pic:spPr>
                    <a:xfrm>
                      <a:off x="0" y="0"/>
                      <a:ext cx="5486400" cy="3254206"/>
                    </a:xfrm>
                    <a:prstGeom prst="rect"/>
                  </pic:spPr>
                </pic:pic>
              </a:graphicData>
            </a:graphic>
          </wp:inline>
        </w:drawing>
      </w:r>
    </w:p>
    <w:p>
      <w:r>
        <w:rPr>
          <w:b/>
          <w:sz w:val="20"/>
        </w:rPr>
        <w:t xml:space="preserve">Figure 30: Document Type Distribution: </w:t>
      </w:r>
      <w:r>
        <w:rPr>
          <w:color w:val="424242"/>
          <w:sz w:val="20"/>
        </w:rPr>
        <w:t>The document type distribution indicates that the most prevalent type is "article," with a total of 1,087 papers, followed by "unspecified" with 396 papers. "Journal Article" and "preprint" are also notable categories, comprising 292 and 234 papers, respectively. The data suggests a predominant reliance on article formats in the field, while other types like "Review, JournalArticle" appear infrequently, with only 16 papers.</w:t>
      </w:r>
    </w:p>
    <w:p/>
    <w:p>
      <w:pPr>
        <w:pStyle w:val="Heading2"/>
      </w:pPr>
      <w:r>
        <w:t>Figure 31: Metadata Completeness</w:t>
      </w:r>
    </w:p>
    <w:p>
      <w:pPr>
        <w:jc w:val="center"/>
      </w:pPr>
      <w:r>
        <w:drawing>
          <wp:inline xmlns:a="http://schemas.openxmlformats.org/drawingml/2006/main" xmlns:pic="http://schemas.openxmlformats.org/drawingml/2006/picture">
            <wp:extent cx="5486400" cy="3012989"/>
            <wp:docPr id="32" name="Picture 32"/>
            <wp:cNvGraphicFramePr>
              <a:graphicFrameLocks noChangeAspect="1"/>
            </wp:cNvGraphicFramePr>
            <a:graphic>
              <a:graphicData uri="http://schemas.openxmlformats.org/drawingml/2006/picture">
                <pic:pic>
                  <pic:nvPicPr>
                    <pic:cNvPr id="0" name="data_completeness.png"/>
                    <pic:cNvPicPr/>
                  </pic:nvPicPr>
                  <pic:blipFill>
                    <a:blip r:embed="rId40"/>
                    <a:stretch>
                      <a:fillRect/>
                    </a:stretch>
                  </pic:blipFill>
                  <pic:spPr>
                    <a:xfrm>
                      <a:off x="0" y="0"/>
                      <a:ext cx="5486400" cy="3012989"/>
                    </a:xfrm>
                    <a:prstGeom prst="rect"/>
                  </pic:spPr>
                </pic:pic>
              </a:graphicData>
            </a:graphic>
          </wp:inline>
        </w:drawing>
      </w:r>
    </w:p>
    <w:p>
      <w:r>
        <w:rPr>
          <w:b/>
          <w:sz w:val="20"/>
        </w:rPr>
        <w:t xml:space="preserve">Figure 31: Metadata Completeness: </w:t>
      </w:r>
      <w:r>
        <w:rPr>
          <w:color w:val="424242"/>
          <w:sz w:val="20"/>
        </w:rPr>
        <w:t>The metadata fields "year" and "citations" exhibit complete data coverage at 100%, followed closely by "authors" at 99.4%, "abstract" at 98.6%, and "doi" at 97.4%, all exceeding the 90% completeness threshold. The fields "keywords" and "journal," however, fall below this threshold, with completeness percentages of 80.9% and 77.9%, respectively, though they remain above the 70% threshold. This indicates a high overall metadata completeness, with particular attention needed to improve coverage in the "keywords" and "journal" fields.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