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Bibliometric Analysis: LLMs in Healthcare Simulation</w:t>
      </w:r>
    </w:p>
    <w:p>
      <w:r>
        <w:t>Complete Figure Compendium - Core Dataset (3,000 papers)</w:t>
      </w:r>
    </w:p>
    <w:p>
      <w:r>
        <w:t>Generated: March 2026</w:t>
      </w:r>
    </w:p>
    <w:p/>
    <w:p>
      <w:pPr>
        <w:pStyle w:val="Heading2"/>
      </w:pPr>
      <w:r>
        <w:t>Graphical Abstract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04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4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Summary infographic highlighting four key findings: 38.0% CAGR growth, the NTS gap (Decision-making 889 vs CRM 4), proprietary LLM dominance (42.7% vs 2.8% open-source), and the urology boot camp gap (0 papers).</w:t>
      </w:r>
    </w:p>
    <w:p/>
    <w:p>
      <w:pPr>
        <w:pStyle w:val="Heading2"/>
      </w:pPr>
      <w:r>
        <w:t>Figure 1: PRISMA 2020 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2162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sma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16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Three-level corpus selection: 100,277 raw records from 7 databases, deduplication to 86,635 unique, screening to extended (7,893), primary (3,587), and core (3,000) corpus.</w:t>
      </w:r>
    </w:p>
    <w:p/>
    <w:p>
      <w:pPr>
        <w:pStyle w:val="Heading2"/>
      </w:pPr>
      <w:r>
        <w:t>Figure 2: Publication Trends by 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14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ation_tren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Annual counts showing ChatGPT inflection point. Pre-ChatGPT: 186 papers (6.2%), post-ChatGPT: 2,814 (93.8%), peak 2025 with 1,366 papers.</w:t>
      </w:r>
    </w:p>
    <w:p/>
    <w:p>
      <w:pPr>
        <w:pStyle w:val="Heading2"/>
      </w:pPr>
      <w:r>
        <w:t>Figure 3: Cumulative Growth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14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mulative_grow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Cumulative growth curve with CAGR of 38.0%, showing exponential acceleration from 2023.</w:t>
      </w:r>
    </w:p>
    <w:p/>
    <w:p>
      <w:pPr>
        <w:pStyle w:val="Heading2"/>
      </w:pPr>
      <w:r>
        <w:t>Figure 4: Citation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428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tion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2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Log-scaled histogram. h-index 91, g-index 165, mean 15.30 citations, ~35% uncited due to publication recency.</w:t>
      </w:r>
    </w:p>
    <w:p/>
    <w:p>
      <w:pPr>
        <w:pStyle w:val="Heading2"/>
      </w:pPr>
      <w:r>
        <w:t>Figure 5: Citations by 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69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tions_by_ye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6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Mean and total citations by year showing citation maturation: earlier papers have higher means, 2025-2026 papers have insufficient citation windows.</w:t>
      </w:r>
    </w:p>
    <w:p/>
    <w:p>
      <w:pPr>
        <w:pStyle w:val="Heading2"/>
      </w:pPr>
      <w:r>
        <w:t>Figure 6: Callon Strategic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730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ic_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Five thematic clusters plotted by centrality and density. Three motor themes (upper-right) and two emerging themes (lower-left).</w:t>
      </w:r>
    </w:p>
    <w:p/>
    <w:p>
      <w:pPr>
        <w:pStyle w:val="Heading2"/>
      </w:pPr>
      <w:r>
        <w:t>Figure 7: NTS Domain Frequencies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96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ts_domain_frequenc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Nine NTS domains: Decision-making (889, 29.6%) and Communication (612, 20.4%) dominate. CRM (4, 0.1%) is critically under-researched.</w:t>
      </w:r>
    </w:p>
    <w:p/>
    <w:p>
      <w:pPr>
        <w:pStyle w:val="Heading2"/>
      </w:pPr>
      <w:r>
        <w:t>Figure 8: NTS Temporal Heatmap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53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ts_domain_year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Year-by-domain heatmap showing Decision-making and Communication growth across all years, while CRM remains sparse throughout.</w:t>
      </w:r>
    </w:p>
    <w:p/>
    <w:p>
      <w:pPr>
        <w:pStyle w:val="Heading2"/>
      </w:pPr>
      <w:r>
        <w:t>Figure 9: Simulation x NTS Cross-Tabulation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969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ion_nts_crossta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Heatmap of simulation modalities vs NTS domains. VR/MR/XR has broadest NTS coverage. Mannequin-based simulation has minimal CRM engagement.</w:t>
      </w:r>
    </w:p>
    <w:p/>
    <w:p>
      <w:pPr>
        <w:pStyle w:val="Heading2"/>
      </w:pPr>
      <w:r>
        <w:t>Figure 10: Simulation Type Frequencies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ion_type_frequenci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VR/MR/XR leads (687, 22.9%), Scenario-based (406, 13.5%), Virtual Patient/Chatbot (299, 10.0%). Mannequin (80, 2.7%) is underrepresented.</w:t>
      </w:r>
    </w:p>
    <w:p/>
    <w:p>
      <w:pPr>
        <w:pStyle w:val="Heading2"/>
      </w:pPr>
      <w:r>
        <w:t>Figure 11: LLM Model Frequencies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50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_model_frequenc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5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ChatGPT dominates (778, 25.9%), GPT-4 (217, 7.2%), Gemini (145, 4.8%). Open-source: Llama (48), Mistral (7).</w:t>
      </w:r>
    </w:p>
    <w:p/>
    <w:p>
      <w:pPr>
        <w:pStyle w:val="Heading2"/>
      </w:pPr>
      <w:r>
        <w:t>Figure 12: Proprietary vs Open-Source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1087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_proprietary_vs_opensour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Proprietary models in 32.0% of papers vs 0.5% open-source. Raises reproducibility and institutional dependency concerns.</w:t>
      </w:r>
    </w:p>
    <w:p/>
    <w:p>
      <w:pPr>
        <w:pStyle w:val="Heading2"/>
      </w:pPr>
      <w:r>
        <w:t>Figure 13: LLM Model Trends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773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_model_trend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7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Temporal trends: ChatGPT sustained dominance, Gemini steepest growth, GPT-3.5 declining as newer models supersede it.</w:t>
      </w:r>
    </w:p>
    <w:p/>
    <w:p>
      <w:pPr>
        <w:pStyle w:val="Heading2"/>
      </w:pPr>
      <w:r>
        <w:t>Figure 14: Top 20 Countries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842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countri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8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84 countries. USA (239), China (168), UK (74), India (63), Canada (59). High-income countries dominate.</w:t>
      </w:r>
    </w:p>
    <w:p/>
    <w:p>
      <w:pPr>
        <w:pStyle w:val="Heading2"/>
      </w:pPr>
      <w:r>
        <w:t>Figure 15: Continental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083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inent_distrib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Concentration in Asia and North America/Europe. Limited Africa and South America representation raises equity concerns.</w:t>
      </w:r>
    </w:p>
    <w:p/>
    <w:p>
      <w:pPr>
        <w:pStyle w:val="Heading2"/>
      </w:pPr>
      <w:r>
        <w:t>Figure 16: Top 20 Authors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57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autho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Most prolific authors. Chinese-affiliated name predominance may partly reflect disambiguation challenges.</w:t>
      </w:r>
    </w:p>
    <w:p/>
    <w:p>
      <w:pPr>
        <w:pStyle w:val="Heading2"/>
      </w:pPr>
      <w:r>
        <w:t>Figure 17: Author Productivity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4179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_productivi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86.4% of 12,488 authors contributed one paper. Characteristic of a young field attracting diverse first-time contributors.</w:t>
      </w:r>
    </w:p>
    <w:p/>
    <w:p>
      <w:pPr>
        <w:pStyle w:val="Heading2"/>
      </w:pPr>
      <w:r>
        <w:t>Figure 18: Lotka Law 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892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tkas_la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Log-log regression: beta=2.602, R-squared=0.955. Excellent fit confirming classical inverse-square author productivity.</w:t>
      </w:r>
    </w:p>
    <w:p/>
    <w:p>
      <w:pPr>
        <w:pStyle w:val="Heading2"/>
      </w:pPr>
      <w:r>
        <w:t>Figure 19: Collaboration Index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14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laboration_index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Mean 5.51 authors per paper, consistent with multidisciplinary biomedical research norms.</w:t>
      </w:r>
    </w:p>
    <w:p/>
    <w:p>
      <w:pPr>
        <w:pStyle w:val="Heading2"/>
      </w:pPr>
      <w:r>
        <w:t>Figure 20: Top 20 Journals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595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journal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arXiv (85) and Cureus (83) lead, reflecting preprint and open-access culture in AI research.</w:t>
      </w:r>
    </w:p>
    <w:p/>
    <w:p>
      <w:pPr>
        <w:pStyle w:val="Heading2"/>
      </w:pPr>
      <w:r>
        <w:t>Figure 21: Bradford Law Zones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148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dford_la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1,299 journals in three zones. Zone 1 (core): 63 journals. Multiplier 7.25 confirms expected scatter.</w:t>
      </w:r>
    </w:p>
    <w:p/>
    <w:p>
      <w:pPr>
        <w:pStyle w:val="Heading2"/>
      </w:pPr>
      <w:r>
        <w:t>Figure 22: Publication Types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01021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ation_typ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10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Articles (38.4%), reviews (8.6%), preprints (8.0%). Document type heterogeneity affects evidence quality.</w:t>
      </w:r>
    </w:p>
    <w:p/>
    <w:p>
      <w:pPr>
        <w:pStyle w:val="Heading2"/>
      </w:pPr>
      <w:r>
        <w:t>Figure 23: Research Methods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2587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arch_method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5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Development studies (630) and comparative studies (595) dominate. Only 36 RCTs (1.2%) identified.</w:t>
      </w:r>
    </w:p>
    <w:p/>
    <w:p>
      <w:pPr>
        <w:pStyle w:val="Heading2"/>
      </w:pPr>
      <w:r>
        <w:t>Figure 24: Top 30 Keywords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2113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keyword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AI, computer science, medicine, medical education as dominant terms reflecting interdisciplinary nature.</w:t>
      </w:r>
    </w:p>
    <w:p/>
    <w:p>
      <w:pPr>
        <w:pStyle w:val="Heading2"/>
      </w:pPr>
      <w:r>
        <w:t>Figure 25: Keyword Co-occurrence Network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0096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word_cooccurrence_network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Network showing intellectual structure with clusters around AI methodology, clinical applications, and education.</w:t>
      </w:r>
    </w:p>
    <w:p/>
    <w:p>
      <w:pPr>
        <w:pStyle w:val="Heading2"/>
      </w:pPr>
      <w:r>
        <w:t>Figure 26: Keyword Word Cloud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67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word_wordclou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 keyword frequency representation confirming interdisciplinary character of the field.</w:t>
      </w:r>
    </w:p>
    <w:p/>
    <w:p>
      <w:pPr>
        <w:pStyle w:val="Heading2"/>
      </w:pPr>
      <w:r>
        <w:t>Figure 27: Urology Sub-Analysis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9302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ology_trend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102 urology papers, growth from 2 (2020) to 40 (2025). Zero combine LLMs with simulation boot camps.</w:t>
      </w:r>
    </w:p>
    <w:p/>
    <w:p>
      <w:pPr>
        <w:pStyle w:val="Heading2"/>
      </w:pPr>
      <w:r>
        <w:t>Figure 28: Source Database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98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database_distributio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OpenAlex largest contributor, followed by Europe PMC and Crossref. Validates multi-source approach.</w:t>
      </w:r>
    </w:p>
    <w:p/>
    <w:p>
      <w:pPr>
        <w:pStyle w:val="Heading2"/>
      </w:pPr>
      <w:r>
        <w:t>Figure 29: Tier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9766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_distributi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Tier 2 (LLM+healthcare simulation): 57.5%, Tier 3 (+NTS): 42.5% of core corpus.</w:t>
      </w:r>
    </w:p>
    <w:p/>
    <w:p>
      <w:pPr>
        <w:pStyle w:val="Heading2"/>
      </w:pPr>
      <w:r>
        <w:t>Figure 30: Document Types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420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_type_distribu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4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Peer-reviewed articles vs preprints, book chapters, and conference proceedings breakdown.</w:t>
      </w:r>
    </w:p>
    <w:p/>
    <w:p>
      <w:pPr>
        <w:pStyle w:val="Heading2"/>
      </w:pPr>
      <w:r>
        <w:t>Figure 31: Metadata Completeness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298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completenes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2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Citation (100%), year (100%), authors (99.6%) high completeness. Journal info (77.9%) is the main gap.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