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565C0"/>
        </w:rPr>
        <w:t>Bibliometric Analysis of LLMs in Healthcare Simulation</w:t>
      </w:r>
    </w:p>
    <w:p>
      <w:pPr>
        <w:jc w:val="center"/>
      </w:pPr>
      <w:r>
        <w:rPr>
          <w:color w:val="424242"/>
          <w:sz w:val="32"/>
        </w:rPr>
        <w:t>Complete Figure Compendium</w:t>
      </w:r>
    </w:p>
    <w:p>
      <w:pPr>
        <w:jc w:val="center"/>
      </w:pPr>
      <w:r>
        <w:rPr>
          <w:color w:val="757575"/>
          <w:sz w:val="24"/>
        </w:rPr>
        <w:t>Core Dataset: 3,000 papers | Generated: March 2026</w:t>
      </w:r>
    </w:p>
    <w:p/>
    <w:p>
      <w:pPr>
        <w:pStyle w:val="Heading1"/>
      </w:pPr>
      <w:r>
        <w:t>Dataset Summary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papers (core corpus)</w:t>
            </w:r>
          </w:p>
        </w:tc>
        <w:tc>
          <w:tcPr>
            <w:tcW w:type="dxa" w:w="4320"/>
          </w:tcPr>
          <w:p>
            <w:r>
              <w:t>3,112</w:t>
            </w:r>
          </w:p>
        </w:tc>
      </w:tr>
      <w:tr>
        <w:tc>
          <w:tcPr>
            <w:tcW w:type="dxa" w:w="4320"/>
          </w:tcPr>
          <w:p>
            <w:r>
              <w:t>Raw records collected</w:t>
            </w:r>
          </w:p>
        </w:tc>
        <w:tc>
          <w:tcPr>
            <w:tcW w:type="dxa" w:w="4320"/>
          </w:tcPr>
          <w:p>
            <w:r>
              <w:t>100,277</w:t>
            </w:r>
          </w:p>
        </w:tc>
      </w:tr>
      <w:tr>
        <w:tc>
          <w:tcPr>
            <w:tcW w:type="dxa" w:w="4320"/>
          </w:tcPr>
          <w:p>
            <w:r>
              <w:t>Databases searched</w:t>
            </w:r>
          </w:p>
        </w:tc>
        <w:tc>
          <w:tcPr>
            <w:tcW w:type="dxa" w:w="4320"/>
          </w:tcPr>
          <w:p>
            <w:r>
              <w:t>7</w:t>
            </w:r>
          </w:p>
        </w:tc>
      </w:tr>
      <w:tr>
        <w:tc>
          <w:tcPr>
            <w:tcW w:type="dxa" w:w="4320"/>
          </w:tcPr>
          <w:p>
            <w:r>
              <w:t>Query strategies</w:t>
            </w:r>
          </w:p>
        </w:tc>
        <w:tc>
          <w:tcPr>
            <w:tcW w:type="dxa" w:w="4320"/>
          </w:tcPr>
          <w:p>
            <w:r>
              <w:t>35</w:t>
            </w:r>
          </w:p>
        </w:tc>
      </w:tr>
      <w:tr>
        <w:tc>
          <w:tcPr>
            <w:tcW w:type="dxa" w:w="4320"/>
          </w:tcPr>
          <w:p>
            <w:r>
              <w:t>Date range</w:t>
            </w:r>
          </w:p>
        </w:tc>
        <w:tc>
          <w:tcPr>
            <w:tcW w:type="dxa" w:w="4320"/>
          </w:tcPr>
          <w:p>
            <w:r>
              <w:t>January 2020 - March 2026</w:t>
            </w:r>
          </w:p>
        </w:tc>
      </w:tr>
    </w:tbl>
    <w:p>
      <w:r>
        <w:br w:type="page"/>
      </w:r>
    </w:p>
    <w:p>
      <w:pPr>
        <w:pStyle w:val="Heading2"/>
      </w:pPr>
      <w:r>
        <w:t>Graphical Abstract</w:t>
      </w:r>
    </w:p>
    <w:p>
      <w:pPr>
        <w:jc w:val="center"/>
      </w:pPr>
      <w:r>
        <w:drawing>
          <wp:inline xmlns:a="http://schemas.openxmlformats.org/drawingml/2006/main" xmlns:pic="http://schemas.openxmlformats.org/drawingml/2006/picture">
            <wp:extent cx="5486400" cy="3104606"/>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5486400" cy="3104606"/>
                    </a:xfrm>
                    <a:prstGeom prst="rect"/>
                  </pic:spPr>
                </pic:pic>
              </a:graphicData>
            </a:graphic>
          </wp:inline>
        </w:drawing>
      </w:r>
    </w:p>
    <w:p>
      <w:r>
        <w:rPr>
          <w:b/>
          <w:sz w:val="20"/>
        </w:rPr>
        <w:t xml:space="preserve">Graphical Abstract: </w:t>
      </w:r>
      <w:r>
        <w:rPr>
          <w:color w:val="424242"/>
          <w:sz w:val="20"/>
        </w:rPr>
        <w:t>The graphical abstract summarizes a bibliometric pipeline that screened 100,277 records to derive a 3,000-paper core dataset on large language models in healthcare simulation, demonstrating rapid growth (compound annual growth rate 38.0%, h‑index 91, with 93.8% of publications post‑ChatGPT and a projected peak in 2025). It highlights major imbalances, including dominance of ChatGPT (25.9% of studies) and proprietary models (42.7% vs only 2.8% open‑source), a substantial non‑technical skills gap (889 decision‑making papers but only 4 on crisis resource management; 222:1 ratio), and a specialty gap in urology (102 papers, none combining LLMs with boot camps), while noting methodological breadth across 7 free databases, 84 countries, 12,488 authors, 31 figures, 17 tables, and an open‑source, six‑monthly re-runnable analysis pipeline.</w:t>
      </w:r>
    </w:p>
    <w:p/>
    <w:p>
      <w:pPr>
        <w:pStyle w:val="Heading2"/>
      </w:pPr>
      <w:r>
        <w:t>Figure 1: PRISMA 2020 Flow Diagram</w:t>
      </w:r>
    </w:p>
    <w:p>
      <w:pPr>
        <w:jc w:val="center"/>
      </w:pPr>
      <w:r>
        <w:drawing>
          <wp:inline xmlns:a="http://schemas.openxmlformats.org/drawingml/2006/main" xmlns:pic="http://schemas.openxmlformats.org/drawingml/2006/picture">
            <wp:extent cx="5486400" cy="6216265"/>
            <wp:docPr id="2" name="Picture 2"/>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6216265"/>
                    </a:xfrm>
                    <a:prstGeom prst="rect"/>
                  </pic:spPr>
                </pic:pic>
              </a:graphicData>
            </a:graphic>
          </wp:inline>
        </w:drawing>
      </w:r>
    </w:p>
    <w:p>
      <w:r>
        <w:rPr>
          <w:b/>
          <w:sz w:val="20"/>
        </w:rPr>
        <w:t xml:space="preserve">Figure 1: PRISMA 2020 Flow Diagram: </w:t>
      </w:r>
      <w:r>
        <w:rPr>
          <w:color w:val="424242"/>
          <w:sz w:val="20"/>
        </w:rPr>
        <w:t>The flow diagram summarizes the identification and selection of 3,000 publications included in the bibliometric analysis from an initial 100,277 records retrieved across seven databases. After removal of 13,642 duplicates (13.6%) and exclusion of 78,742 records during keyword screening, 3,000 papers remained after Stage 1 screening, of which 1,725 were categorized as Tier 2 (simulation, core scope) and 1,275 as Tier 3 (including non-technical skills), while no records met Tier 1 criteria.</w:t>
      </w:r>
    </w:p>
    <w:p/>
    <w:p>
      <w:pPr>
        <w:pStyle w:val="Heading2"/>
      </w:pPr>
      <w:r>
        <w:t>Figure 2: Publication Trends by Year</w:t>
      </w:r>
    </w:p>
    <w:p>
      <w:pPr>
        <w:jc w:val="center"/>
      </w:pPr>
      <w:r>
        <w:drawing>
          <wp:inline xmlns:a="http://schemas.openxmlformats.org/drawingml/2006/main" xmlns:pic="http://schemas.openxmlformats.org/drawingml/2006/picture">
            <wp:extent cx="5486400" cy="3261483"/>
            <wp:docPr id="3" name="Picture 3"/>
            <wp:cNvGraphicFramePr>
              <a:graphicFrameLocks noChangeAspect="1"/>
            </wp:cNvGraphicFramePr>
            <a:graphic>
              <a:graphicData uri="http://schemas.openxmlformats.org/drawingml/2006/picture">
                <pic:pic>
                  <pic:nvPicPr>
                    <pic:cNvPr id="0" name="publication_trends.png"/>
                    <pic:cNvPicPr/>
                  </pic:nvPicPr>
                  <pic:blipFill>
                    <a:blip r:embed="rId11"/>
                    <a:stretch>
                      <a:fillRect/>
                    </a:stretch>
                  </pic:blipFill>
                  <pic:spPr>
                    <a:xfrm>
                      <a:off x="0" y="0"/>
                      <a:ext cx="5486400" cy="3261483"/>
                    </a:xfrm>
                    <a:prstGeom prst="rect"/>
                  </pic:spPr>
                </pic:pic>
              </a:graphicData>
            </a:graphic>
          </wp:inline>
        </w:drawing>
      </w:r>
    </w:p>
    <w:p>
      <w:r>
        <w:rPr>
          <w:b/>
          <w:sz w:val="20"/>
        </w:rPr>
        <w:t xml:space="preserve">Figure 2: Publication Trends by Year: </w:t>
      </w:r>
      <w:r>
        <w:rPr>
          <w:color w:val="424242"/>
          <w:sz w:val="20"/>
        </w:rPr>
        <w:t>Publication activity on LLMs in healthcare simulation increases modestly from 52 publications in 2020 to 81 in 2022, followed by a sharp inflection coinciding with the launch of ChatGPT in 2023, when output rises to 349 publications. The upward trajectory continues with 740 publications in 2024 and peaks at 1,366 in 2025, before a projected decline to 359 publications in 2026, underscoring the pronounced post-ChatGPT surge and subsequent stabilization of research interest.</w:t>
      </w:r>
    </w:p>
    <w:p/>
    <w:p>
      <w:pPr>
        <w:pStyle w:val="Heading2"/>
      </w:pPr>
      <w:r>
        <w:t>Figure 3: Cumulative Publication Growth</w:t>
      </w:r>
    </w:p>
    <w:p>
      <w:pPr>
        <w:jc w:val="center"/>
      </w:pPr>
      <w:r>
        <w:drawing>
          <wp:inline xmlns:a="http://schemas.openxmlformats.org/drawingml/2006/main" xmlns:pic="http://schemas.openxmlformats.org/drawingml/2006/picture">
            <wp:extent cx="5486400" cy="3261483"/>
            <wp:docPr id="4" name="Picture 4"/>
            <wp:cNvGraphicFramePr>
              <a:graphicFrameLocks noChangeAspect="1"/>
            </wp:cNvGraphicFramePr>
            <a:graphic>
              <a:graphicData uri="http://schemas.openxmlformats.org/drawingml/2006/picture">
                <pic:pic>
                  <pic:nvPicPr>
                    <pic:cNvPr id="0" name="cumulative_growth.png"/>
                    <pic:cNvPicPr/>
                  </pic:nvPicPr>
                  <pic:blipFill>
                    <a:blip r:embed="rId12"/>
                    <a:stretch>
                      <a:fillRect/>
                    </a:stretch>
                  </pic:blipFill>
                  <pic:spPr>
                    <a:xfrm>
                      <a:off x="0" y="0"/>
                      <a:ext cx="5486400" cy="3261483"/>
                    </a:xfrm>
                    <a:prstGeom prst="rect"/>
                  </pic:spPr>
                </pic:pic>
              </a:graphicData>
            </a:graphic>
          </wp:inline>
        </w:drawing>
      </w:r>
    </w:p>
    <w:p>
      <w:r>
        <w:rPr>
          <w:b/>
          <w:sz w:val="20"/>
        </w:rPr>
        <w:t xml:space="preserve">Figure 3: Cumulative Publication Growth: </w:t>
      </w:r>
      <w:r>
        <w:rPr>
          <w:color w:val="424242"/>
          <w:sz w:val="20"/>
        </w:rPr>
        <w:t>Cumulative publication trends indicate an exponential increase in LLM–healthcare simulation literature over the study period, rising from 50 publications in 2020 to 200 in 2022 and then surging to 530 in 2023 and 1275 in 2024. The trajectory continues sharply upward, reaching 2630 cumulative publications in 2025 and 3000 by 2026, underscoring the rapid and accelerating expansion of research activity in this domain.</w:t>
      </w:r>
    </w:p>
    <w:p/>
    <w:p>
      <w:pPr>
        <w:pStyle w:val="Heading2"/>
      </w:pPr>
      <w:r>
        <w:t>Figure 4: Citation Distribution</w:t>
      </w:r>
    </w:p>
    <w:p>
      <w:pPr>
        <w:jc w:val="center"/>
      </w:pPr>
      <w:r>
        <w:drawing>
          <wp:inline xmlns:a="http://schemas.openxmlformats.org/drawingml/2006/main" xmlns:pic="http://schemas.openxmlformats.org/drawingml/2006/picture">
            <wp:extent cx="5486400" cy="3242891"/>
            <wp:docPr id="5" name="Picture 5"/>
            <wp:cNvGraphicFramePr>
              <a:graphicFrameLocks noChangeAspect="1"/>
            </wp:cNvGraphicFramePr>
            <a:graphic>
              <a:graphicData uri="http://schemas.openxmlformats.org/drawingml/2006/picture">
                <pic:pic>
                  <pic:nvPicPr>
                    <pic:cNvPr id="0" name="citation_distribution.png"/>
                    <pic:cNvPicPr/>
                  </pic:nvPicPr>
                  <pic:blipFill>
                    <a:blip r:embed="rId13"/>
                    <a:stretch>
                      <a:fillRect/>
                    </a:stretch>
                  </pic:blipFill>
                  <pic:spPr>
                    <a:xfrm>
                      <a:off x="0" y="0"/>
                      <a:ext cx="5486400" cy="3242891"/>
                    </a:xfrm>
                    <a:prstGeom prst="rect"/>
                  </pic:spPr>
                </pic:pic>
              </a:graphicData>
            </a:graphic>
          </wp:inline>
        </w:drawing>
      </w:r>
    </w:p>
    <w:p>
      <w:r>
        <w:rPr>
          <w:b/>
          <w:sz w:val="20"/>
        </w:rPr>
        <w:t xml:space="preserve">Figure 4: Citation Distribution: </w:t>
      </w:r>
      <w:r>
        <w:rPr>
          <w:color w:val="424242"/>
          <w:sz w:val="20"/>
        </w:rPr>
        <w:t>Citation impact within the corpus is highly skewed, with a large proportion of low‐impact or uncited articles and a small tail of highly cited works. Among the 3,000 papers analyzed, the mean citation count is 15.3, the median is 2, the h-index is 91, and 40.2% of publications have received zero citations, as illustrated by the log-scaled histogram of citation counts.</w:t>
      </w:r>
    </w:p>
    <w:p/>
    <w:p>
      <w:pPr>
        <w:pStyle w:val="Heading2"/>
      </w:pPr>
      <w:r>
        <w:t>Figure 5: Citations Stratified by Year</w:t>
      </w:r>
    </w:p>
    <w:p>
      <w:pPr>
        <w:jc w:val="center"/>
      </w:pPr>
      <w:r>
        <w:drawing>
          <wp:inline xmlns:a="http://schemas.openxmlformats.org/drawingml/2006/main" xmlns:pic="http://schemas.openxmlformats.org/drawingml/2006/picture">
            <wp:extent cx="5486400" cy="3266995"/>
            <wp:docPr id="6" name="Picture 6"/>
            <wp:cNvGraphicFramePr>
              <a:graphicFrameLocks noChangeAspect="1"/>
            </wp:cNvGraphicFramePr>
            <a:graphic>
              <a:graphicData uri="http://schemas.openxmlformats.org/drawingml/2006/picture">
                <pic:pic>
                  <pic:nvPicPr>
                    <pic:cNvPr id="0" name="citations_by_year.png"/>
                    <pic:cNvPicPr/>
                  </pic:nvPicPr>
                  <pic:blipFill>
                    <a:blip r:embed="rId14"/>
                    <a:stretch>
                      <a:fillRect/>
                    </a:stretch>
                  </pic:blipFill>
                  <pic:spPr>
                    <a:xfrm>
                      <a:off x="0" y="0"/>
                      <a:ext cx="5486400" cy="3266995"/>
                    </a:xfrm>
                    <a:prstGeom prst="rect"/>
                  </pic:spPr>
                </pic:pic>
              </a:graphicData>
            </a:graphic>
          </wp:inline>
        </w:drawing>
      </w:r>
    </w:p>
    <w:p>
      <w:r>
        <w:rPr>
          <w:b/>
          <w:sz w:val="20"/>
        </w:rPr>
        <w:t xml:space="preserve">Figure 5: Citations Stratified by Year: </w:t>
      </w:r>
      <w:r>
        <w:rPr>
          <w:color w:val="424242"/>
          <w:sz w:val="20"/>
        </w:rPr>
        <w:t>Citations are highly skewed toward recent years, with total citations peaking at 17,600 in 2023, followed by 12,000 in 2024 and 4,800 in 2025, compared with only 4,100, 4,500, and 2,600 citations in 2020, 2021, and 2022, respectively. The mean citations per paper are highest for early publications (75.8 in 2021 and 73.2 in 2020), decline to 48.6 in 2023 and 16.0 in 2024, and fall further to 5.4 in 2025 and 1.2 in 2026, reflecting both citation accumulation over time and rapid expansion of the publication base in the most recent years.</w:t>
      </w:r>
    </w:p>
    <w:p/>
    <w:p>
      <w:pPr>
        <w:pStyle w:val="Heading2"/>
      </w:pPr>
      <w:r>
        <w:t>Figure 6: Callon Strategic Thematic Diagram</w:t>
      </w:r>
    </w:p>
    <w:p>
      <w:pPr>
        <w:jc w:val="center"/>
      </w:pPr>
      <w:r>
        <w:drawing>
          <wp:inline xmlns:a="http://schemas.openxmlformats.org/drawingml/2006/main" xmlns:pic="http://schemas.openxmlformats.org/drawingml/2006/picture">
            <wp:extent cx="5486400" cy="4584632"/>
            <wp:docPr id="7" name="Picture 7"/>
            <wp:cNvGraphicFramePr>
              <a:graphicFrameLocks noChangeAspect="1"/>
            </wp:cNvGraphicFramePr>
            <a:graphic>
              <a:graphicData uri="http://schemas.openxmlformats.org/drawingml/2006/picture">
                <pic:pic>
                  <pic:nvPicPr>
                    <pic:cNvPr id="0" name="strategic_diagram.png"/>
                    <pic:cNvPicPr/>
                  </pic:nvPicPr>
                  <pic:blipFill>
                    <a:blip r:embed="rId15"/>
                    <a:stretch>
                      <a:fillRect/>
                    </a:stretch>
                  </pic:blipFill>
                  <pic:spPr>
                    <a:xfrm>
                      <a:off x="0" y="0"/>
                      <a:ext cx="5486400" cy="4584632"/>
                    </a:xfrm>
                    <a:prstGeom prst="rect"/>
                  </pic:spPr>
                </pic:pic>
              </a:graphicData>
            </a:graphic>
          </wp:inline>
        </w:drawing>
      </w:r>
    </w:p>
    <w:p>
      <w:r>
        <w:rPr>
          <w:b/>
          <w:sz w:val="20"/>
        </w:rPr>
        <w:t xml:space="preserve">Figure 6: Callon Strategic Thematic Diagram: </w:t>
      </w:r>
      <w:r>
        <w:rPr>
          <w:color w:val="424242"/>
          <w:sz w:val="20"/>
        </w:rPr>
        <w:t>The thematic map indicates that “artificial intelligence / education” represents a highly developed and central motor theme, with the highest centrality (approximately 0.96×10⁶) and density (about 355). “Clinical / potential / patient” (centrality ≈0.78×10⁶, density ≈252) and “large language models / medical / healthcare” (centrality ≈0.84×10⁶, density ≈235) appear as well-developed niche and basic themes respectively, whereas “artificial intelligence / computer science / medicine” and “computer science / medicine” occupy the emerging or declining quadrant with much lower centrality (0.16–0.29×10⁶) and density (~92–96).</w:t>
      </w:r>
    </w:p>
    <w:p/>
    <w:p>
      <w:pPr>
        <w:pStyle w:val="Heading2"/>
      </w:pPr>
      <w:r>
        <w:t>Figure 7: NTS Domain Frequencies</w:t>
      </w:r>
    </w:p>
    <w:p>
      <w:pPr>
        <w:jc w:val="center"/>
      </w:pPr>
      <w:r>
        <w:drawing>
          <wp:inline xmlns:a="http://schemas.openxmlformats.org/drawingml/2006/main" xmlns:pic="http://schemas.openxmlformats.org/drawingml/2006/picture">
            <wp:extent cx="5486400" cy="3259687"/>
            <wp:docPr id="8" name="Picture 8"/>
            <wp:cNvGraphicFramePr>
              <a:graphicFrameLocks noChangeAspect="1"/>
            </wp:cNvGraphicFramePr>
            <a:graphic>
              <a:graphicData uri="http://schemas.openxmlformats.org/drawingml/2006/picture">
                <pic:pic>
                  <pic:nvPicPr>
                    <pic:cNvPr id="0" name="nts_domain_frequencies.png"/>
                    <pic:cNvPicPr/>
                  </pic:nvPicPr>
                  <pic:blipFill>
                    <a:blip r:embed="rId16"/>
                    <a:stretch>
                      <a:fillRect/>
                    </a:stretch>
                  </pic:blipFill>
                  <pic:spPr>
                    <a:xfrm>
                      <a:off x="0" y="0"/>
                      <a:ext cx="5486400" cy="3259687"/>
                    </a:xfrm>
                    <a:prstGeom prst="rect"/>
                  </pic:spPr>
                </pic:pic>
              </a:graphicData>
            </a:graphic>
          </wp:inline>
        </w:drawing>
      </w:r>
    </w:p>
    <w:p>
      <w:r>
        <w:rPr>
          <w:b/>
          <w:sz w:val="20"/>
        </w:rPr>
        <w:t xml:space="preserve">Figure 7: NTS Domain Frequencies: </w:t>
      </w:r>
      <w:r>
        <w:rPr>
          <w:color w:val="424242"/>
          <w:sz w:val="20"/>
        </w:rPr>
        <w:t>Non-technical skills research in healthcare simulation focuses predominantly on decision-making (889 papers), followed by communication (612 papers) and teamwork (374 papers), indicating these domains as the primary targets of scholarly attention. Leadership (234), stress management (147), professionalism (93), situational awareness (53), task management (38), and CRM (4) appear far less frequently, highlighting substantial gaps in the literature on these latter NTS domains.</w:t>
      </w:r>
    </w:p>
    <w:p/>
    <w:p>
      <w:pPr>
        <w:pStyle w:val="Heading2"/>
      </w:pPr>
      <w:r>
        <w:t>Figure 8: NTS Domain Temporal Heatmap</w:t>
      </w:r>
    </w:p>
    <w:p>
      <w:pPr>
        <w:jc w:val="center"/>
      </w:pPr>
      <w:r>
        <w:drawing>
          <wp:inline xmlns:a="http://schemas.openxmlformats.org/drawingml/2006/main" xmlns:pic="http://schemas.openxmlformats.org/drawingml/2006/picture">
            <wp:extent cx="5486400" cy="3585326"/>
            <wp:docPr id="9" name="Picture 9"/>
            <wp:cNvGraphicFramePr>
              <a:graphicFrameLocks noChangeAspect="1"/>
            </wp:cNvGraphicFramePr>
            <a:graphic>
              <a:graphicData uri="http://schemas.openxmlformats.org/drawingml/2006/picture">
                <pic:pic>
                  <pic:nvPicPr>
                    <pic:cNvPr id="0" name="nts_domain_year_heatmap.png"/>
                    <pic:cNvPicPr/>
                  </pic:nvPicPr>
                  <pic:blipFill>
                    <a:blip r:embed="rId17"/>
                    <a:stretch>
                      <a:fillRect/>
                    </a:stretch>
                  </pic:blipFill>
                  <pic:spPr>
                    <a:xfrm>
                      <a:off x="0" y="0"/>
                      <a:ext cx="5486400" cy="3585326"/>
                    </a:xfrm>
                    <a:prstGeom prst="rect"/>
                  </pic:spPr>
                </pic:pic>
              </a:graphicData>
            </a:graphic>
          </wp:inline>
        </w:drawing>
      </w:r>
    </w:p>
    <w:p>
      <w:r>
        <w:rPr>
          <w:b/>
          <w:sz w:val="20"/>
        </w:rPr>
        <w:t xml:space="preserve">Figure 8: NTS Domain Temporal Heatmap: </w:t>
      </w:r>
      <w:r>
        <w:rPr>
          <w:color w:val="424242"/>
          <w:sz w:val="20"/>
        </w:rPr>
        <w:t>NTS research in LLM-based healthcare simulation demonstrates a sharp temporal expansion, with publications across all domains rising markedly after 2022 and peaking in 2025. Decision-making (from 10 papers in 2020 to 453 in 2025) and communication (from 8 to 302 over the same period) exhibit the strongest growth, followed by teamwork (10 to 195) and leadership (4 to 128), whereas CRM remains minimally represented (0–2 papers annually) throughout 2020–2026.</w:t>
      </w:r>
    </w:p>
    <w:p/>
    <w:p>
      <w:pPr>
        <w:pStyle w:val="Heading2"/>
      </w:pPr>
      <w:r>
        <w:t>Figure 9: Simulation x NTS Cross-Tabulation</w:t>
      </w:r>
    </w:p>
    <w:p>
      <w:pPr>
        <w:jc w:val="center"/>
      </w:pPr>
      <w:r>
        <w:drawing>
          <wp:inline xmlns:a="http://schemas.openxmlformats.org/drawingml/2006/main" xmlns:pic="http://schemas.openxmlformats.org/drawingml/2006/picture">
            <wp:extent cx="5486400" cy="3996958"/>
            <wp:docPr id="10" name="Picture 10"/>
            <wp:cNvGraphicFramePr>
              <a:graphicFrameLocks noChangeAspect="1"/>
            </wp:cNvGraphicFramePr>
            <a:graphic>
              <a:graphicData uri="http://schemas.openxmlformats.org/drawingml/2006/picture">
                <pic:pic>
                  <pic:nvPicPr>
                    <pic:cNvPr id="0" name="simulation_nts_crosstab.png"/>
                    <pic:cNvPicPr/>
                  </pic:nvPicPr>
                  <pic:blipFill>
                    <a:blip r:embed="rId18"/>
                    <a:stretch>
                      <a:fillRect/>
                    </a:stretch>
                  </pic:blipFill>
                  <pic:spPr>
                    <a:xfrm>
                      <a:off x="0" y="0"/>
                      <a:ext cx="5486400" cy="3996958"/>
                    </a:xfrm>
                    <a:prstGeom prst="rect"/>
                  </pic:spPr>
                </pic:pic>
              </a:graphicData>
            </a:graphic>
          </wp:inline>
        </w:drawing>
      </w:r>
    </w:p>
    <w:p>
      <w:r>
        <w:rPr>
          <w:b/>
          <w:sz w:val="20"/>
        </w:rPr>
        <w:t xml:space="preserve">Figure 9: Simulation x NTS Cross-Tabulation: </w:t>
      </w:r>
      <w:r>
        <w:rPr>
          <w:color w:val="424242"/>
          <w:sz w:val="20"/>
        </w:rPr>
        <w:t>The cross-tabulation reveals that research on non-technical skills (NTS) is most frequently associated with immersive technologies and scenario-based simulations, particularly for communication, decision-making and teamwork. VR/MR/XR simulations account for the highest counts across several domains (e.g., teamwork n=157, communication n=168, decision-making n=126, leadership n=99), followed by virtual patient/chatbot (communication n=123, decision-making n=71, teamwork n=40) and scenario-based simulations (decision-making n=115, communication n=111, teamwork n=73). In contrast, traditional modalities such as debriefing, mannequin, OSCE, roleplay and standardized patient exhibit comparatively lower frequencies across all NTS domains, typically with cell counts below 30.</w:t>
      </w:r>
    </w:p>
    <w:p/>
    <w:p>
      <w:pPr>
        <w:pStyle w:val="Heading2"/>
      </w:pPr>
      <w:r>
        <w:t>Figure 10: Simulation Type Frequencies</w:t>
      </w:r>
    </w:p>
    <w:p>
      <w:pPr>
        <w:jc w:val="center"/>
      </w:pPr>
      <w:r>
        <w:drawing>
          <wp:inline xmlns:a="http://schemas.openxmlformats.org/drawingml/2006/main" xmlns:pic="http://schemas.openxmlformats.org/drawingml/2006/picture">
            <wp:extent cx="5486400" cy="3466155"/>
            <wp:docPr id="11" name="Picture 11"/>
            <wp:cNvGraphicFramePr>
              <a:graphicFrameLocks noChangeAspect="1"/>
            </wp:cNvGraphicFramePr>
            <a:graphic>
              <a:graphicData uri="http://schemas.openxmlformats.org/drawingml/2006/picture">
                <pic:pic>
                  <pic:nvPicPr>
                    <pic:cNvPr id="0" name="simulation_type_frequencies.png"/>
                    <pic:cNvPicPr/>
                  </pic:nvPicPr>
                  <pic:blipFill>
                    <a:blip r:embed="rId19"/>
                    <a:stretch>
                      <a:fillRect/>
                    </a:stretch>
                  </pic:blipFill>
                  <pic:spPr>
                    <a:xfrm>
                      <a:off x="0" y="0"/>
                      <a:ext cx="5486400" cy="3466155"/>
                    </a:xfrm>
                    <a:prstGeom prst="rect"/>
                  </pic:spPr>
                </pic:pic>
              </a:graphicData>
            </a:graphic>
          </wp:inline>
        </w:drawing>
      </w:r>
    </w:p>
    <w:p>
      <w:r>
        <w:rPr>
          <w:b/>
          <w:sz w:val="20"/>
        </w:rPr>
        <w:t xml:space="preserve">Figure 10: Simulation Type Frequencies: </w:t>
      </w:r>
      <w:r>
        <w:rPr>
          <w:color w:val="424242"/>
          <w:sz w:val="20"/>
        </w:rPr>
        <w:t>VR/MR/XR simulations predominate in the corpus, with 687 papers, followed by scenario-based simulations (406 papers) and virtual patient/chatbot simulations (299 papers), indicating a strong emphasis on technology-enhanced modalities in the LLM in healthcare simulation literature. Standardized patient simulations are less frequently represented (170 papers), while OSCE (83 papers), mannequin-based (80 papers), debriefing-focused (51 papers), and roleplay simulations (42 papers) appear only in a minority of studies.</w:t>
      </w:r>
    </w:p>
    <w:p/>
    <w:p>
      <w:pPr>
        <w:pStyle w:val="Heading2"/>
      </w:pPr>
      <w:r>
        <w:t>Figure 11: LLM Model Mention Frequencies</w:t>
      </w:r>
    </w:p>
    <w:p>
      <w:pPr>
        <w:jc w:val="center"/>
      </w:pPr>
      <w:r>
        <w:drawing>
          <wp:inline xmlns:a="http://schemas.openxmlformats.org/drawingml/2006/main" xmlns:pic="http://schemas.openxmlformats.org/drawingml/2006/picture">
            <wp:extent cx="5486400" cy="3185006"/>
            <wp:docPr id="12" name="Picture 12"/>
            <wp:cNvGraphicFramePr>
              <a:graphicFrameLocks noChangeAspect="1"/>
            </wp:cNvGraphicFramePr>
            <a:graphic>
              <a:graphicData uri="http://schemas.openxmlformats.org/drawingml/2006/picture">
                <pic:pic>
                  <pic:nvPicPr>
                    <pic:cNvPr id="0" name="llm_model_frequencies.png"/>
                    <pic:cNvPicPr/>
                  </pic:nvPicPr>
                  <pic:blipFill>
                    <a:blip r:embed="rId20"/>
                    <a:stretch>
                      <a:fillRect/>
                    </a:stretch>
                  </pic:blipFill>
                  <pic:spPr>
                    <a:xfrm>
                      <a:off x="0" y="0"/>
                      <a:ext cx="5486400" cy="3185006"/>
                    </a:xfrm>
                    <a:prstGeom prst="rect"/>
                  </pic:spPr>
                </pic:pic>
              </a:graphicData>
            </a:graphic>
          </wp:inline>
        </w:drawing>
      </w:r>
    </w:p>
    <w:p>
      <w:r>
        <w:rPr>
          <w:b/>
          <w:sz w:val="20"/>
        </w:rPr>
        <w:t xml:space="preserve">Figure 11: LLM Model Mention Frequencies: </w:t>
      </w:r>
      <w:r>
        <w:rPr>
          <w:color w:val="424242"/>
          <w:sz w:val="20"/>
        </w:rPr>
        <w:t>LLM-related simulation research is dominated by references to proprietary models, with “ChatGPT (generic)” mentioned in 778 papers and GPT‑4, Gemini, Claude, GPT‑4o, GPT‑3.5, GPT‑5, and Med-PaLM together accounting for an additional 622 mentions. Generic or unspecified LLMs appear in 275 papers, while open‑source models are comparatively underrepresented, with Llama and Mistral cited in only 48 and 7 papers, respectively.</w:t>
      </w:r>
    </w:p>
    <w:p/>
    <w:p>
      <w:pPr>
        <w:pStyle w:val="Heading2"/>
      </w:pPr>
      <w:r>
        <w:t>Figure 12: Proprietary vs Open-Source LLM Split</w:t>
      </w:r>
    </w:p>
    <w:p>
      <w:pPr>
        <w:jc w:val="center"/>
      </w:pPr>
      <w:r>
        <w:drawing>
          <wp:inline xmlns:a="http://schemas.openxmlformats.org/drawingml/2006/main" xmlns:pic="http://schemas.openxmlformats.org/drawingml/2006/picture">
            <wp:extent cx="5486400" cy="5056477"/>
            <wp:docPr id="13" name="Picture 13"/>
            <wp:cNvGraphicFramePr>
              <a:graphicFrameLocks noChangeAspect="1"/>
            </wp:cNvGraphicFramePr>
            <a:graphic>
              <a:graphicData uri="http://schemas.openxmlformats.org/drawingml/2006/picture">
                <pic:pic>
                  <pic:nvPicPr>
                    <pic:cNvPr id="0" name="llm_proprietary_vs_opensource.png"/>
                    <pic:cNvPicPr/>
                  </pic:nvPicPr>
                  <pic:blipFill>
                    <a:blip r:embed="rId21"/>
                    <a:stretch>
                      <a:fillRect/>
                    </a:stretch>
                  </pic:blipFill>
                  <pic:spPr>
                    <a:xfrm>
                      <a:off x="0" y="0"/>
                      <a:ext cx="5486400" cy="5056477"/>
                    </a:xfrm>
                    <a:prstGeom prst="rect"/>
                  </pic:spPr>
                </pic:pic>
              </a:graphicData>
            </a:graphic>
          </wp:inline>
        </w:drawing>
      </w:r>
    </w:p>
    <w:p>
      <w:r>
        <w:rPr>
          <w:b/>
          <w:sz w:val="20"/>
        </w:rPr>
        <w:t xml:space="preserve">Figure 12: Proprietary vs Open-Source LLM Split: </w:t>
      </w:r>
      <w:r>
        <w:rPr>
          <w:color w:val="424242"/>
          <w:sz w:val="20"/>
        </w:rPr>
        <w:t>Proprietary models dominate the LLM landscape in healthcare simulation publications, with 32.0% of articles mentioning proprietary LLMs only and a further 0.5% mentioning both proprietary and open-source systems, while just 0.2% refer exclusively to open-source LLMs. In contrast, 9.2% of studies mention only generic, unspecified LLMs and a majority of 57.2% make no reference to LLMs at all, underscoring both the predominance of proprietary systems and the substantial proportion of literature not yet engaging with LLM technologies.</w:t>
      </w:r>
    </w:p>
    <w:p/>
    <w:p>
      <w:pPr>
        <w:pStyle w:val="Heading2"/>
      </w:pPr>
      <w:r>
        <w:t>Figure 13: LLM Model Temporal Trends</w:t>
      </w:r>
    </w:p>
    <w:p>
      <w:pPr>
        <w:jc w:val="center"/>
      </w:pPr>
      <w:r>
        <w:drawing>
          <wp:inline xmlns:a="http://schemas.openxmlformats.org/drawingml/2006/main" xmlns:pic="http://schemas.openxmlformats.org/drawingml/2006/picture">
            <wp:extent cx="5486400" cy="3177309"/>
            <wp:docPr id="14" name="Picture 14"/>
            <wp:cNvGraphicFramePr>
              <a:graphicFrameLocks noChangeAspect="1"/>
            </wp:cNvGraphicFramePr>
            <a:graphic>
              <a:graphicData uri="http://schemas.openxmlformats.org/drawingml/2006/picture">
                <pic:pic>
                  <pic:nvPicPr>
                    <pic:cNvPr id="0" name="llm_model_trends.png"/>
                    <pic:cNvPicPr/>
                  </pic:nvPicPr>
                  <pic:blipFill>
                    <a:blip r:embed="rId22"/>
                    <a:stretch>
                      <a:fillRect/>
                    </a:stretch>
                  </pic:blipFill>
                  <pic:spPr>
                    <a:xfrm>
                      <a:off x="0" y="0"/>
                      <a:ext cx="5486400" cy="3177309"/>
                    </a:xfrm>
                    <a:prstGeom prst="rect"/>
                  </pic:spPr>
                </pic:pic>
              </a:graphicData>
            </a:graphic>
          </wp:inline>
        </w:drawing>
      </w:r>
    </w:p>
    <w:p>
      <w:r>
        <w:rPr>
          <w:b/>
          <w:sz w:val="20"/>
        </w:rPr>
        <w:t xml:space="preserve">Figure 13: LLM Model Temporal Trends: </w:t>
      </w:r>
      <w:r>
        <w:rPr>
          <w:color w:val="424242"/>
          <w:sz w:val="20"/>
        </w:rPr>
        <w:t>LLM model mentions in healthcare simulation literature increase sharply from 2023 to 2025 and then decline in 2026, with generic “ChatGPT” dominating throughout (rising from 140 papers in 2023 to 320 in 2025, before falling to 80 in 2026). GPT‑4 grows from 32 to 100 mentions between 2023 and 2025, while newer models such as Gemini (0 to 95), GPT‑4o (0 to 57), and Claude (2 to 50) emerge strongly by 2025 but subsequently decrease to 30, 10, and 20 mentions, respectively, in 2026; other models (e.g., GPT‑3.5, Llama, Med‑PaLM, Mistral) remain comparatively less cited across all years.</w:t>
      </w:r>
    </w:p>
    <w:p/>
    <w:p>
      <w:pPr>
        <w:pStyle w:val="Heading2"/>
      </w:pPr>
      <w:r>
        <w:t>Figure 14: Top 20 Countries</w:t>
      </w:r>
    </w:p>
    <w:p>
      <w:pPr>
        <w:jc w:val="center"/>
      </w:pPr>
      <w:r>
        <w:drawing>
          <wp:inline xmlns:a="http://schemas.openxmlformats.org/drawingml/2006/main" xmlns:pic="http://schemas.openxmlformats.org/drawingml/2006/picture">
            <wp:extent cx="5486400" cy="4368424"/>
            <wp:docPr id="15" name="Picture 15"/>
            <wp:cNvGraphicFramePr>
              <a:graphicFrameLocks noChangeAspect="1"/>
            </wp:cNvGraphicFramePr>
            <a:graphic>
              <a:graphicData uri="http://schemas.openxmlformats.org/drawingml/2006/picture">
                <pic:pic>
                  <pic:nvPicPr>
                    <pic:cNvPr id="0" name="top_countries.png"/>
                    <pic:cNvPicPr/>
                  </pic:nvPicPr>
                  <pic:blipFill>
                    <a:blip r:embed="rId23"/>
                    <a:stretch>
                      <a:fillRect/>
                    </a:stretch>
                  </pic:blipFill>
                  <pic:spPr>
                    <a:xfrm>
                      <a:off x="0" y="0"/>
                      <a:ext cx="5486400" cy="4368424"/>
                    </a:xfrm>
                    <a:prstGeom prst="rect"/>
                  </pic:spPr>
                </pic:pic>
              </a:graphicData>
            </a:graphic>
          </wp:inline>
        </w:drawing>
      </w:r>
    </w:p>
    <w:p>
      <w:r>
        <w:rPr>
          <w:b/>
          <w:sz w:val="20"/>
        </w:rPr>
        <w:t xml:space="preserve">Figure 14: Top 20 Countries: </w:t>
      </w:r>
      <w:r>
        <w:rPr>
          <w:color w:val="424242"/>
          <w:sz w:val="20"/>
        </w:rPr>
        <w:t>Global research output on large language models in healthcare simulation is highly concentrated in a few countries, led by the United States with 239 publications, followed by China (168) and the United Kingdom (74). A second tier of contributors includes India (63), Canada (59), Germany (55), and Italy (42), with the remaining countries among the top 20—such as South Korea (33), Switzerland (29), Saudi Arabia (25), Japan (21), and Malaysia (16)—producing substantially fewer papers, indicating a pronounced geographic disparity in scholarly activity.</w:t>
      </w:r>
    </w:p>
    <w:p/>
    <w:p>
      <w:pPr>
        <w:pStyle w:val="Heading2"/>
      </w:pPr>
      <w:r>
        <w:t>Figure 15: Continental Distribution</w:t>
      </w:r>
    </w:p>
    <w:p>
      <w:pPr>
        <w:jc w:val="center"/>
      </w:pPr>
      <w:r>
        <w:drawing>
          <wp:inline xmlns:a="http://schemas.openxmlformats.org/drawingml/2006/main" xmlns:pic="http://schemas.openxmlformats.org/drawingml/2006/picture">
            <wp:extent cx="5486400" cy="5613865"/>
            <wp:docPr id="16" name="Picture 16"/>
            <wp:cNvGraphicFramePr>
              <a:graphicFrameLocks noChangeAspect="1"/>
            </wp:cNvGraphicFramePr>
            <a:graphic>
              <a:graphicData uri="http://schemas.openxmlformats.org/drawingml/2006/picture">
                <pic:pic>
                  <pic:nvPicPr>
                    <pic:cNvPr id="0" name="continent_distribution.png"/>
                    <pic:cNvPicPr/>
                  </pic:nvPicPr>
                  <pic:blipFill>
                    <a:blip r:embed="rId24"/>
                    <a:stretch>
                      <a:fillRect/>
                    </a:stretch>
                  </pic:blipFill>
                  <pic:spPr>
                    <a:xfrm>
                      <a:off x="0" y="0"/>
                      <a:ext cx="5486400" cy="5613865"/>
                    </a:xfrm>
                    <a:prstGeom prst="rect"/>
                  </pic:spPr>
                </pic:pic>
              </a:graphicData>
            </a:graphic>
          </wp:inline>
        </w:drawing>
      </w:r>
    </w:p>
    <w:p>
      <w:r>
        <w:rPr>
          <w:b/>
          <w:sz w:val="20"/>
        </w:rPr>
        <w:t xml:space="preserve">Figure 15: Continental Distribution: </w:t>
      </w:r>
      <w:r>
        <w:rPr>
          <w:color w:val="424242"/>
          <w:sz w:val="20"/>
        </w:rPr>
        <w:t>Authorship of LLM-in-healthcare-simulation publications is concentrated in Asia (31.5%), Europe (28.0%), and North America (23.0%), indicating that these three regions dominate scholarly output in this field. The Middle East contributes a more modest 9.8% of authorships, while Oceania (3.4%), South America (2.5%), and Africa (1.8%) are minimally represented, underscoring substantial geographic disparities in research participation.</w:t>
      </w:r>
    </w:p>
    <w:p/>
    <w:p>
      <w:pPr>
        <w:pStyle w:val="Heading2"/>
      </w:pPr>
      <w:r>
        <w:t>Figure 16: Top 20 Most Prolific Authors</w:t>
      </w:r>
    </w:p>
    <w:p>
      <w:pPr>
        <w:jc w:val="center"/>
      </w:pPr>
      <w:r>
        <w:drawing>
          <wp:inline xmlns:a="http://schemas.openxmlformats.org/drawingml/2006/main" xmlns:pic="http://schemas.openxmlformats.org/drawingml/2006/picture">
            <wp:extent cx="5486400" cy="4366576"/>
            <wp:docPr id="17" name="Picture 17"/>
            <wp:cNvGraphicFramePr>
              <a:graphicFrameLocks noChangeAspect="1"/>
            </wp:cNvGraphicFramePr>
            <a:graphic>
              <a:graphicData uri="http://schemas.openxmlformats.org/drawingml/2006/picture">
                <pic:pic>
                  <pic:nvPicPr>
                    <pic:cNvPr id="0" name="top_authors.png"/>
                    <pic:cNvPicPr/>
                  </pic:nvPicPr>
                  <pic:blipFill>
                    <a:blip r:embed="rId25"/>
                    <a:stretch>
                      <a:fillRect/>
                    </a:stretch>
                  </pic:blipFill>
                  <pic:spPr>
                    <a:xfrm>
                      <a:off x="0" y="0"/>
                      <a:ext cx="5486400" cy="4366576"/>
                    </a:xfrm>
                    <a:prstGeom prst="rect"/>
                  </pic:spPr>
                </pic:pic>
              </a:graphicData>
            </a:graphic>
          </wp:inline>
        </w:drawing>
      </w:r>
    </w:p>
    <w:p>
      <w:r>
        <w:rPr>
          <w:b/>
          <w:sz w:val="20"/>
        </w:rPr>
        <w:t xml:space="preserve">Figure 16: Top 20 Most Prolific Authors: </w:t>
      </w:r>
      <w:r>
        <w:rPr>
          <w:color w:val="424242"/>
          <w:sz w:val="20"/>
        </w:rPr>
        <w:t>Authorship in the field is highly concentrated, with Wang, Y leading at 42 publications, followed by Li, Y with 35 papers. A second tier of prolific contributors includes Liu, Y and Li, X (29 papers each), Zhang, Y (28), Li, J (27), and Wang, X (25), while the remaining authors among the top 20 each contribute between 17 and 24 publications, indicating a relatively small group of researchers driving a substantial portion of the literature.</w:t>
      </w:r>
    </w:p>
    <w:p/>
    <w:p>
      <w:pPr>
        <w:pStyle w:val="Heading2"/>
      </w:pPr>
      <w:r>
        <w:t>Figure 17: Author Productivity Distribution</w:t>
      </w:r>
    </w:p>
    <w:p>
      <w:pPr>
        <w:jc w:val="center"/>
      </w:pPr>
      <w:r>
        <w:drawing>
          <wp:inline xmlns:a="http://schemas.openxmlformats.org/drawingml/2006/main" xmlns:pic="http://schemas.openxmlformats.org/drawingml/2006/picture">
            <wp:extent cx="5486400" cy="3241795"/>
            <wp:docPr id="18" name="Picture 18"/>
            <wp:cNvGraphicFramePr>
              <a:graphicFrameLocks noChangeAspect="1"/>
            </wp:cNvGraphicFramePr>
            <a:graphic>
              <a:graphicData uri="http://schemas.openxmlformats.org/drawingml/2006/picture">
                <pic:pic>
                  <pic:nvPicPr>
                    <pic:cNvPr id="0" name="author_productivity.png"/>
                    <pic:cNvPicPr/>
                  </pic:nvPicPr>
                  <pic:blipFill>
                    <a:blip r:embed="rId26"/>
                    <a:stretch>
                      <a:fillRect/>
                    </a:stretch>
                  </pic:blipFill>
                  <pic:spPr>
                    <a:xfrm>
                      <a:off x="0" y="0"/>
                      <a:ext cx="5486400" cy="3241795"/>
                    </a:xfrm>
                    <a:prstGeom prst="rect"/>
                  </pic:spPr>
                </pic:pic>
              </a:graphicData>
            </a:graphic>
          </wp:inline>
        </w:drawing>
      </w:r>
    </w:p>
    <w:p>
      <w:r>
        <w:rPr>
          <w:b/>
          <w:sz w:val="20"/>
        </w:rPr>
        <w:t xml:space="preserve">Figure 17: Author Productivity Distribution: </w:t>
      </w:r>
      <w:r>
        <w:rPr>
          <w:color w:val="424242"/>
          <w:sz w:val="20"/>
        </w:rPr>
        <w:t>Author productivity follows a highly skewed Lotka-type distribution, with a large majority of authors contributing only one paper and rapidly decreasing frequencies for higher productivity levels on the log–log scale. The fitted Lotka exponent (β = 2.60) with a high coefficient of determination (R² = 0.955) indicates a strong power-law relationship, deviating modestly from the theoretical expectation of β ≈ 2.0 and confirming that a small group of highly prolific authors accounts for a disproportionate share of publications.</w:t>
      </w:r>
    </w:p>
    <w:p/>
    <w:p>
      <w:pPr>
        <w:pStyle w:val="Heading2"/>
      </w:pPr>
      <w:r>
        <w:t>Figure 18: Lotka's Law Test</w:t>
      </w:r>
    </w:p>
    <w:p>
      <w:pPr>
        <w:jc w:val="center"/>
      </w:pPr>
      <w:r>
        <w:drawing>
          <wp:inline xmlns:a="http://schemas.openxmlformats.org/drawingml/2006/main" xmlns:pic="http://schemas.openxmlformats.org/drawingml/2006/picture">
            <wp:extent cx="5486400" cy="4089271"/>
            <wp:docPr id="19" name="Picture 19"/>
            <wp:cNvGraphicFramePr>
              <a:graphicFrameLocks noChangeAspect="1"/>
            </wp:cNvGraphicFramePr>
            <a:graphic>
              <a:graphicData uri="http://schemas.openxmlformats.org/drawingml/2006/picture">
                <pic:pic>
                  <pic:nvPicPr>
                    <pic:cNvPr id="0" name="lotkas_law.png"/>
                    <pic:cNvPicPr/>
                  </pic:nvPicPr>
                  <pic:blipFill>
                    <a:blip r:embed="rId27"/>
                    <a:stretch>
                      <a:fillRect/>
                    </a:stretch>
                  </pic:blipFill>
                  <pic:spPr>
                    <a:xfrm>
                      <a:off x="0" y="0"/>
                      <a:ext cx="5486400" cy="4089271"/>
                    </a:xfrm>
                    <a:prstGeom prst="rect"/>
                  </pic:spPr>
                </pic:pic>
              </a:graphicData>
            </a:graphic>
          </wp:inline>
        </w:drawing>
      </w:r>
    </w:p>
    <w:p>
      <w:r>
        <w:rPr>
          <w:b/>
          <w:sz w:val="20"/>
        </w:rPr>
        <w:t xml:space="preserve">Figure 18: Lotka's Law Test: </w:t>
      </w:r>
      <w:r>
        <w:rPr>
          <w:color w:val="424242"/>
          <w:sz w:val="20"/>
        </w:rPr>
        <w:t>Lotka’s Law is well supported in this corpus, with the log–log plot of papers per author versus proportion of authors closely following a linear trend (β = 2.60, R² = 0.955). The high coefficient of determination indicates that author productivity in Large Language Models for healthcare simulation is highly skewed, with a small number of authors producing many papers and the majority contributing only one or two publications.</w:t>
      </w:r>
    </w:p>
    <w:p/>
    <w:p>
      <w:pPr>
        <w:pStyle w:val="Heading2"/>
      </w:pPr>
      <w:r>
        <w:t>Figure 19: Collaboration Index</w:t>
      </w:r>
    </w:p>
    <w:p>
      <w:pPr>
        <w:jc w:val="center"/>
      </w:pPr>
      <w:r>
        <w:drawing>
          <wp:inline xmlns:a="http://schemas.openxmlformats.org/drawingml/2006/main" xmlns:pic="http://schemas.openxmlformats.org/drawingml/2006/picture">
            <wp:extent cx="5486400" cy="3261483"/>
            <wp:docPr id="20" name="Picture 20"/>
            <wp:cNvGraphicFramePr>
              <a:graphicFrameLocks noChangeAspect="1"/>
            </wp:cNvGraphicFramePr>
            <a:graphic>
              <a:graphicData uri="http://schemas.openxmlformats.org/drawingml/2006/picture">
                <pic:pic>
                  <pic:nvPicPr>
                    <pic:cNvPr id="0" name="collaboration_index.png"/>
                    <pic:cNvPicPr/>
                  </pic:nvPicPr>
                  <pic:blipFill>
                    <a:blip r:embed="rId28"/>
                    <a:stretch>
                      <a:fillRect/>
                    </a:stretch>
                  </pic:blipFill>
                  <pic:spPr>
                    <a:xfrm>
                      <a:off x="0" y="0"/>
                      <a:ext cx="5486400" cy="3261483"/>
                    </a:xfrm>
                    <a:prstGeom prst="rect"/>
                  </pic:spPr>
                </pic:pic>
              </a:graphicData>
            </a:graphic>
          </wp:inline>
        </w:drawing>
      </w:r>
    </w:p>
    <w:p>
      <w:r>
        <w:rPr>
          <w:b/>
          <w:sz w:val="20"/>
        </w:rPr>
        <w:t xml:space="preserve">Figure 19: Collaboration Index: </w:t>
      </w:r>
      <w:r>
        <w:rPr>
          <w:color w:val="424242"/>
          <w:sz w:val="20"/>
        </w:rPr>
        <w:t>Collaboration intensity in LLM-focused healthcare simulation research fluctuates over time, with a notable peak in 2023 when the mean number of authors per paper reached 6.21, well above the overall mean of 5.51. Earlier and later years show lower collaboration, ranging from 4.80 authors per paper in 2022 to 5.52 in 2024, 5.47 in 2025, and 5.28 in 2026, indicating a transient surge rather than a steady upward trend.</w:t>
      </w:r>
    </w:p>
    <w:p/>
    <w:p>
      <w:pPr>
        <w:pStyle w:val="Heading2"/>
      </w:pPr>
      <w:r>
        <w:t>Figure 20: Top 20 Journals/Sources</w:t>
      </w:r>
    </w:p>
    <w:p>
      <w:pPr>
        <w:jc w:val="center"/>
      </w:pPr>
      <w:r>
        <w:drawing>
          <wp:inline xmlns:a="http://schemas.openxmlformats.org/drawingml/2006/main" xmlns:pic="http://schemas.openxmlformats.org/drawingml/2006/picture">
            <wp:extent cx="5486400" cy="4095958"/>
            <wp:docPr id="21" name="Picture 21"/>
            <wp:cNvGraphicFramePr>
              <a:graphicFrameLocks noChangeAspect="1"/>
            </wp:cNvGraphicFramePr>
            <a:graphic>
              <a:graphicData uri="http://schemas.openxmlformats.org/drawingml/2006/picture">
                <pic:pic>
                  <pic:nvPicPr>
                    <pic:cNvPr id="0" name="top_journals.png"/>
                    <pic:cNvPicPr/>
                  </pic:nvPicPr>
                  <pic:blipFill>
                    <a:blip r:embed="rId29"/>
                    <a:stretch>
                      <a:fillRect/>
                    </a:stretch>
                  </pic:blipFill>
                  <pic:spPr>
                    <a:xfrm>
                      <a:off x="0" y="0"/>
                      <a:ext cx="5486400" cy="4095958"/>
                    </a:xfrm>
                    <a:prstGeom prst="rect"/>
                  </pic:spPr>
                </pic:pic>
              </a:graphicData>
            </a:graphic>
          </wp:inline>
        </w:drawing>
      </w:r>
    </w:p>
    <w:p>
      <w:r>
        <w:rPr>
          <w:b/>
          <w:sz w:val="20"/>
        </w:rPr>
        <w:t xml:space="preserve">Figure 20: Top 20 Journals/Sources: </w:t>
      </w:r>
      <w:r>
        <w:rPr>
          <w:color w:val="424242"/>
          <w:sz w:val="20"/>
        </w:rPr>
        <w:t>Publication output on LLMs in healthcare simulation is highly concentrated in a small number of sources, with arXiv (Cornell University) and Cureus publishing the most papers (85 and 83, respectively), followed by arXiv.org (35 and 33 papers across two indexed entries). The remaining leading journals and platforms, including JMIR Medical Education and BMC Medical Education (29 papers each), npj Digital Medicine (23), Journal of Clinical Medicine and Applied Sciences (19 each), and Scientific Reports (18), contribute progressively fewer publications, with the 20th-ranked sources (Artificial Intelligence Surgery, Journal of Medical Internet Research, and Frontiers in Medicine) each accounting for 10 papers.</w:t>
      </w:r>
    </w:p>
    <w:p/>
    <w:p>
      <w:pPr>
        <w:pStyle w:val="Heading2"/>
      </w:pPr>
      <w:r>
        <w:t>Figure 21: Bradford's Law Zones</w:t>
      </w:r>
    </w:p>
    <w:p>
      <w:pPr>
        <w:jc w:val="center"/>
      </w:pPr>
      <w:r>
        <w:drawing>
          <wp:inline xmlns:a="http://schemas.openxmlformats.org/drawingml/2006/main" xmlns:pic="http://schemas.openxmlformats.org/drawingml/2006/picture">
            <wp:extent cx="5486400" cy="3261483"/>
            <wp:docPr id="22" name="Picture 22"/>
            <wp:cNvGraphicFramePr>
              <a:graphicFrameLocks noChangeAspect="1"/>
            </wp:cNvGraphicFramePr>
            <a:graphic>
              <a:graphicData uri="http://schemas.openxmlformats.org/drawingml/2006/picture">
                <pic:pic>
                  <pic:nvPicPr>
                    <pic:cNvPr id="0" name="bradford_law.png"/>
                    <pic:cNvPicPr/>
                  </pic:nvPicPr>
                  <pic:blipFill>
                    <a:blip r:embed="rId30"/>
                    <a:stretch>
                      <a:fillRect/>
                    </a:stretch>
                  </pic:blipFill>
                  <pic:spPr>
                    <a:xfrm>
                      <a:off x="0" y="0"/>
                      <a:ext cx="5486400" cy="3261483"/>
                    </a:xfrm>
                    <a:prstGeom prst="rect"/>
                  </pic:spPr>
                </pic:pic>
              </a:graphicData>
            </a:graphic>
          </wp:inline>
        </w:drawing>
      </w:r>
    </w:p>
    <w:p>
      <w:r>
        <w:rPr>
          <w:b/>
          <w:sz w:val="20"/>
        </w:rPr>
        <w:t xml:space="preserve">Figure 21: Bradford's Law Zones: </w:t>
      </w:r>
      <w:r>
        <w:rPr>
          <w:color w:val="424242"/>
          <w:sz w:val="20"/>
        </w:rPr>
        <w:t>Bradford’s distribution reveals a highly concentrated core of 63 journals producing 781 papers, followed by a middle zone of 457 journals with 777 papers and a peripheral zone of 779 journals with 779 papers. The cumulative paper curve against log₁₀(journal rank) and the zone multipliers (7.25 from Zone 1 to Zone 2 and 1.7 from Zone 2 to Zone 3) demonstrate a steep increase in journal numbers required to generate comparable increments in output, consistent with Bradford’s Law of scattering.</w:t>
      </w:r>
    </w:p>
    <w:p/>
    <w:p>
      <w:pPr>
        <w:pStyle w:val="Heading2"/>
      </w:pPr>
      <w:r>
        <w:t>Figure 22: Publication Type Distribution</w:t>
      </w:r>
    </w:p>
    <w:p>
      <w:pPr>
        <w:jc w:val="center"/>
      </w:pPr>
      <w:r>
        <w:drawing>
          <wp:inline xmlns:a="http://schemas.openxmlformats.org/drawingml/2006/main" xmlns:pic="http://schemas.openxmlformats.org/drawingml/2006/picture">
            <wp:extent cx="5486400" cy="17227332"/>
            <wp:docPr id="23" name="Picture 23"/>
            <wp:cNvGraphicFramePr>
              <a:graphicFrameLocks noChangeAspect="1"/>
            </wp:cNvGraphicFramePr>
            <a:graphic>
              <a:graphicData uri="http://schemas.openxmlformats.org/drawingml/2006/picture">
                <pic:pic>
                  <pic:nvPicPr>
                    <pic:cNvPr id="0" name="publication_types.png"/>
                    <pic:cNvPicPr/>
                  </pic:nvPicPr>
                  <pic:blipFill>
                    <a:blip r:embed="rId31"/>
                    <a:stretch>
                      <a:fillRect/>
                    </a:stretch>
                  </pic:blipFill>
                  <pic:spPr>
                    <a:xfrm>
                      <a:off x="0" y="0"/>
                      <a:ext cx="5486400" cy="17227332"/>
                    </a:xfrm>
                    <a:prstGeom prst="rect"/>
                  </pic:spPr>
                </pic:pic>
              </a:graphicData>
            </a:graphic>
          </wp:inline>
        </w:drawing>
      </w:r>
    </w:p>
    <w:p>
      <w:r>
        <w:rPr>
          <w:b/>
          <w:sz w:val="20"/>
        </w:rPr>
        <w:t xml:space="preserve">Figure 22: Publication Type Distribution: </w:t>
      </w:r>
      <w:r>
        <w:rPr>
          <w:color w:val="424242"/>
          <w:sz w:val="20"/>
        </w:rPr>
        <w:t>Publication types in the dataset are heavily dominated by generic “articles” (1087 records), followed by “not specified” documents (396), “journal articles” (292), preprints (241), and reviews (229). All remaining categories, including journal article/review hybrids, conference papers, book chapters, and various specialized trial or study designs, each contribute fewer than 130 records, with many types represented by only 1–3 publications, indicating a highly skewed distribution toward a small number of broad publication categories.</w:t>
      </w:r>
    </w:p>
    <w:p/>
    <w:p>
      <w:pPr>
        <w:pStyle w:val="Heading2"/>
      </w:pPr>
      <w:r>
        <w:t>Figure 23: Research Methods Distribution</w:t>
      </w:r>
    </w:p>
    <w:p>
      <w:pPr>
        <w:jc w:val="center"/>
      </w:pPr>
      <w:r>
        <w:drawing>
          <wp:inline xmlns:a="http://schemas.openxmlformats.org/drawingml/2006/main" xmlns:pic="http://schemas.openxmlformats.org/drawingml/2006/picture">
            <wp:extent cx="5486400" cy="3825872"/>
            <wp:docPr id="24" name="Picture 24"/>
            <wp:cNvGraphicFramePr>
              <a:graphicFrameLocks noChangeAspect="1"/>
            </wp:cNvGraphicFramePr>
            <a:graphic>
              <a:graphicData uri="http://schemas.openxmlformats.org/drawingml/2006/picture">
                <pic:pic>
                  <pic:nvPicPr>
                    <pic:cNvPr id="0" name="research_methods.png"/>
                    <pic:cNvPicPr/>
                  </pic:nvPicPr>
                  <pic:blipFill>
                    <a:blip r:embed="rId32"/>
                    <a:stretch>
                      <a:fillRect/>
                    </a:stretch>
                  </pic:blipFill>
                  <pic:spPr>
                    <a:xfrm>
                      <a:off x="0" y="0"/>
                      <a:ext cx="5486400" cy="3825872"/>
                    </a:xfrm>
                    <a:prstGeom prst="rect"/>
                  </pic:spPr>
                </pic:pic>
              </a:graphicData>
            </a:graphic>
          </wp:inline>
        </w:drawing>
      </w:r>
    </w:p>
    <w:p>
      <w:r>
        <w:rPr>
          <w:b/>
          <w:sz w:val="20"/>
        </w:rPr>
        <w:t xml:space="preserve">Figure 23: Research Methods Distribution: </w:t>
      </w:r>
      <w:r>
        <w:rPr>
          <w:color w:val="424242"/>
          <w:sz w:val="20"/>
        </w:rPr>
        <w:t>Research on LLMs in healthcare simulation is dominated by development (630 papers), comparative (595), and validation studies (510), indicating a strong emphasis on creating and benchmarking new tools rather than on rigorous evaluative designs. Cross-sectional surveys (347), qualitative studies (273), narrative reviews (226), and feasibility studies (224) are moderately represented, whereas more robust or integrative methodologies such as observational (204), systematic reviews (196), scoping reviews (124), mixed methods (121), case studies (69), quasi-experiments (56), and randomized controlled trials (36) are comparatively scarce.</w:t>
      </w:r>
    </w:p>
    <w:p/>
    <w:p>
      <w:pPr>
        <w:pStyle w:val="Heading2"/>
      </w:pPr>
      <w:r>
        <w:t>Figure 24: Top 30 Keywords</w:t>
      </w:r>
    </w:p>
    <w:p>
      <w:pPr>
        <w:jc w:val="center"/>
      </w:pPr>
      <w:r>
        <w:drawing>
          <wp:inline xmlns:a="http://schemas.openxmlformats.org/drawingml/2006/main" xmlns:pic="http://schemas.openxmlformats.org/drawingml/2006/picture">
            <wp:extent cx="5486400" cy="4921135"/>
            <wp:docPr id="25" name="Picture 25"/>
            <wp:cNvGraphicFramePr>
              <a:graphicFrameLocks noChangeAspect="1"/>
            </wp:cNvGraphicFramePr>
            <a:graphic>
              <a:graphicData uri="http://schemas.openxmlformats.org/drawingml/2006/picture">
                <pic:pic>
                  <pic:nvPicPr>
                    <pic:cNvPr id="0" name="top_keywords.png"/>
                    <pic:cNvPicPr/>
                  </pic:nvPicPr>
                  <pic:blipFill>
                    <a:blip r:embed="rId33"/>
                    <a:stretch>
                      <a:fillRect/>
                    </a:stretch>
                  </pic:blipFill>
                  <pic:spPr>
                    <a:xfrm>
                      <a:off x="0" y="0"/>
                      <a:ext cx="5486400" cy="4921135"/>
                    </a:xfrm>
                    <a:prstGeom prst="rect"/>
                  </pic:spPr>
                </pic:pic>
              </a:graphicData>
            </a:graphic>
          </wp:inline>
        </w:drawing>
      </w:r>
    </w:p>
    <w:p>
      <w:r>
        <w:rPr>
          <w:b/>
          <w:sz w:val="20"/>
        </w:rPr>
        <w:t xml:space="preserve">Figure 24: Top 30 Keywords: </w:t>
      </w:r>
      <w:r>
        <w:rPr>
          <w:color w:val="424242"/>
          <w:sz w:val="20"/>
        </w:rPr>
        <w:t>The keyword co-occurrence analysis indicates that research on large language models in healthcare simulation is anchored in broader domains of artificial intelligence and computing, with “artificial intelligence” (1,106 occurrences) and “computer science” (1,031 occurrences) being the most frequent terms, followed by “medicine” (927), “psychology” (611), “medical education” (525), and “health care” (441). More specific terms such as “humans” (283), “chatgpt” (254), “virtual reality” (231), “large language models” (173), “simulation” (145), and “medical physics” (132) appear less frequently, suggesting that while simulation- and LLM-focused work is emerging, it is still embedded within a wider, predominantly general AI and biomedical research landscape.</w:t>
      </w:r>
    </w:p>
    <w:p/>
    <w:p>
      <w:pPr>
        <w:pStyle w:val="Heading2"/>
      </w:pPr>
      <w:r>
        <w:t>Figure 25: Keyword Co-occurrence Network</w:t>
      </w:r>
    </w:p>
    <w:p>
      <w:pPr>
        <w:jc w:val="center"/>
      </w:pPr>
      <w:r>
        <w:drawing>
          <wp:inline xmlns:a="http://schemas.openxmlformats.org/drawingml/2006/main" xmlns:pic="http://schemas.openxmlformats.org/drawingml/2006/picture">
            <wp:extent cx="5486400" cy="4300969"/>
            <wp:docPr id="26" name="Picture 26"/>
            <wp:cNvGraphicFramePr>
              <a:graphicFrameLocks noChangeAspect="1"/>
            </wp:cNvGraphicFramePr>
            <a:graphic>
              <a:graphicData uri="http://schemas.openxmlformats.org/drawingml/2006/picture">
                <pic:pic>
                  <pic:nvPicPr>
                    <pic:cNvPr id="0" name="keyword_cooccurrence_network.png"/>
                    <pic:cNvPicPr/>
                  </pic:nvPicPr>
                  <pic:blipFill>
                    <a:blip r:embed="rId34"/>
                    <a:stretch>
                      <a:fillRect/>
                    </a:stretch>
                  </pic:blipFill>
                  <pic:spPr>
                    <a:xfrm>
                      <a:off x="0" y="0"/>
                      <a:ext cx="5486400" cy="4300969"/>
                    </a:xfrm>
                    <a:prstGeom prst="rect"/>
                  </pic:spPr>
                </pic:pic>
              </a:graphicData>
            </a:graphic>
          </wp:inline>
        </w:drawing>
      </w:r>
    </w:p>
    <w:p>
      <w:r>
        <w:rPr>
          <w:b/>
          <w:sz w:val="20"/>
        </w:rPr>
        <w:t xml:space="preserve">Figure 25: Keyword Co-occurrence Network: </w:t>
      </w:r>
      <w:r>
        <w:rPr>
          <w:color w:val="424242"/>
          <w:sz w:val="20"/>
        </w:rPr>
        <w:t>Keyword co-occurrence analysis reveals that research on large language models in healthcare simulation is organized around several tightly interconnected clusters, with “artificial intelligence,” “medical education,” and “medicine” forming the largest nodes and central hubs in the network. Terms directly related to LLMs such as “chatGPT,” “large language models,” and “natural language processing” appear as smaller but densely linked nodes, connecting to adjacent concepts including “simulation training,” “virtual reality,” “nursing,” and “health care,” indicating a strong integration of LLM-related work within broader themes of clinical training and digital health.</w:t>
      </w:r>
    </w:p>
    <w:p/>
    <w:p>
      <w:pPr>
        <w:pStyle w:val="Heading2"/>
      </w:pPr>
      <w:r>
        <w:t>Figure 26: Keyword Word Cloud</w:t>
      </w:r>
    </w:p>
    <w:p>
      <w:pPr>
        <w:jc w:val="center"/>
      </w:pPr>
      <w:r>
        <w:drawing>
          <wp:inline xmlns:a="http://schemas.openxmlformats.org/drawingml/2006/main" xmlns:pic="http://schemas.openxmlformats.org/drawingml/2006/picture">
            <wp:extent cx="5486400" cy="3256750"/>
            <wp:docPr id="27" name="Picture 27"/>
            <wp:cNvGraphicFramePr>
              <a:graphicFrameLocks noChangeAspect="1"/>
            </wp:cNvGraphicFramePr>
            <a:graphic>
              <a:graphicData uri="http://schemas.openxmlformats.org/drawingml/2006/picture">
                <pic:pic>
                  <pic:nvPicPr>
                    <pic:cNvPr id="0" name="keyword_wordcloud.png"/>
                    <pic:cNvPicPr/>
                  </pic:nvPicPr>
                  <pic:blipFill>
                    <a:blip r:embed="rId35"/>
                    <a:stretch>
                      <a:fillRect/>
                    </a:stretch>
                  </pic:blipFill>
                  <pic:spPr>
                    <a:xfrm>
                      <a:off x="0" y="0"/>
                      <a:ext cx="5486400" cy="3256750"/>
                    </a:xfrm>
                    <a:prstGeom prst="rect"/>
                  </pic:spPr>
                </pic:pic>
              </a:graphicData>
            </a:graphic>
          </wp:inline>
        </w:drawing>
      </w:r>
    </w:p>
    <w:p>
      <w:r>
        <w:rPr>
          <w:b/>
          <w:sz w:val="20"/>
        </w:rPr>
        <w:t xml:space="preserve">Figure 26: Keyword Word Cloud: </w:t>
      </w:r>
      <w:r>
        <w:rPr>
          <w:color w:val="424242"/>
          <w:sz w:val="20"/>
        </w:rPr>
        <w:t>Dominant research themes in the corpus cluster around “artificial intelligence,” “computer science,” “medicine,” “healthcare,” and “medical education,” which appear as the largest terms in the keyword word cloud, indicating their highest frequency of occurrence. Other prominently represented topics include “virtual reality,” “natural language processing,” “large language models,” “chatgpt,” “simulation training,” “nursing,” “psychology,” “medical physics,” and “human–computer interaction,” underscoring the interdisciplinary nature of Large Language Model applications in healthcare simulation.</w:t>
      </w:r>
    </w:p>
    <w:p/>
    <w:p>
      <w:pPr>
        <w:pStyle w:val="Heading2"/>
      </w:pPr>
      <w:r>
        <w:t>Figure 27: Urology Sub-Analysis Trends</w:t>
      </w:r>
    </w:p>
    <w:p>
      <w:pPr>
        <w:jc w:val="center"/>
      </w:pPr>
      <w:r>
        <w:drawing>
          <wp:inline xmlns:a="http://schemas.openxmlformats.org/drawingml/2006/main" xmlns:pic="http://schemas.openxmlformats.org/drawingml/2006/picture">
            <wp:extent cx="5486400" cy="3393027"/>
            <wp:docPr id="28" name="Picture 28"/>
            <wp:cNvGraphicFramePr>
              <a:graphicFrameLocks noChangeAspect="1"/>
            </wp:cNvGraphicFramePr>
            <a:graphic>
              <a:graphicData uri="http://schemas.openxmlformats.org/drawingml/2006/picture">
                <pic:pic>
                  <pic:nvPicPr>
                    <pic:cNvPr id="0" name="urology_trends.png"/>
                    <pic:cNvPicPr/>
                  </pic:nvPicPr>
                  <pic:blipFill>
                    <a:blip r:embed="rId36"/>
                    <a:stretch>
                      <a:fillRect/>
                    </a:stretch>
                  </pic:blipFill>
                  <pic:spPr>
                    <a:xfrm>
                      <a:off x="0" y="0"/>
                      <a:ext cx="5486400" cy="3393027"/>
                    </a:xfrm>
                    <a:prstGeom prst="rect"/>
                  </pic:spPr>
                </pic:pic>
              </a:graphicData>
            </a:graphic>
          </wp:inline>
        </w:drawing>
      </w:r>
    </w:p>
    <w:p>
      <w:r>
        <w:rPr>
          <w:b/>
          <w:sz w:val="20"/>
        </w:rPr>
        <w:t xml:space="preserve">Figure 27: Urology Sub-Analysis Trends: </w:t>
      </w:r>
      <w:r>
        <w:rPr>
          <w:color w:val="424242"/>
          <w:sz w:val="20"/>
        </w:rPr>
        <w:t>Urology-focused LLM simulation research exhibits a marked acceleration, rising from only 2–3 papers annually between 2020 and 2022 to 16 publications in 2023, 32 in 2024, and peaking at 40 in 2025. A subsequent decline to 7 papers in 2026 suggests either a tapering of output or incomplete indexing for the most recent year.</w:t>
      </w:r>
    </w:p>
    <w:p/>
    <w:p>
      <w:pPr>
        <w:pStyle w:val="Heading2"/>
      </w:pPr>
      <w:r>
        <w:t>Figure 28: Source Database Distribution</w:t>
      </w:r>
    </w:p>
    <w:p>
      <w:pPr>
        <w:jc w:val="center"/>
      </w:pPr>
      <w:r>
        <w:drawing>
          <wp:inline xmlns:a="http://schemas.openxmlformats.org/drawingml/2006/main" xmlns:pic="http://schemas.openxmlformats.org/drawingml/2006/picture">
            <wp:extent cx="5486400" cy="2709882"/>
            <wp:docPr id="29" name="Picture 29"/>
            <wp:cNvGraphicFramePr>
              <a:graphicFrameLocks noChangeAspect="1"/>
            </wp:cNvGraphicFramePr>
            <a:graphic>
              <a:graphicData uri="http://schemas.openxmlformats.org/drawingml/2006/picture">
                <pic:pic>
                  <pic:nvPicPr>
                    <pic:cNvPr id="0" name="source_database_distribution.png"/>
                    <pic:cNvPicPr/>
                  </pic:nvPicPr>
                  <pic:blipFill>
                    <a:blip r:embed="rId37"/>
                    <a:stretch>
                      <a:fillRect/>
                    </a:stretch>
                  </pic:blipFill>
                  <pic:spPr>
                    <a:xfrm>
                      <a:off x="0" y="0"/>
                      <a:ext cx="5486400" cy="2709882"/>
                    </a:xfrm>
                    <a:prstGeom prst="rect"/>
                  </pic:spPr>
                </pic:pic>
              </a:graphicData>
            </a:graphic>
          </wp:inline>
        </w:drawing>
      </w:r>
    </w:p>
    <w:p>
      <w:r>
        <w:rPr>
          <w:b/>
          <w:sz w:val="20"/>
        </w:rPr>
        <w:t xml:space="preserve">Figure 28: Source Database Distribution: </w:t>
      </w:r>
      <w:r>
        <w:rPr>
          <w:color w:val="424242"/>
          <w:sz w:val="20"/>
        </w:rPr>
        <w:t>The distribution of records across source databases is highly skewed, with OpenAlex contributing the vast majority of included papers (n=1,678), followed by substantially smaller contributions from PubMed (n=478), Europe PMC (n=347), Semantic Scholar (n=258), Crossref (n=167), CORE (n=71), and DOAJ (n=1). This pattern indicates that OpenAlex was the dominant bibliographic source for studies on large language models in healthcare simulation within the analyzed dataset.</w:t>
      </w:r>
    </w:p>
    <w:p/>
    <w:p>
      <w:pPr>
        <w:pStyle w:val="Heading2"/>
      </w:pPr>
      <w:r>
        <w:t>Figure 29: Screening Tier Distribution</w:t>
      </w:r>
    </w:p>
    <w:p>
      <w:pPr>
        <w:jc w:val="center"/>
      </w:pPr>
      <w:r>
        <w:drawing>
          <wp:inline xmlns:a="http://schemas.openxmlformats.org/drawingml/2006/main" xmlns:pic="http://schemas.openxmlformats.org/drawingml/2006/picture">
            <wp:extent cx="5486400" cy="3397669"/>
            <wp:docPr id="30" name="Picture 30"/>
            <wp:cNvGraphicFramePr>
              <a:graphicFrameLocks noChangeAspect="1"/>
            </wp:cNvGraphicFramePr>
            <a:graphic>
              <a:graphicData uri="http://schemas.openxmlformats.org/drawingml/2006/picture">
                <pic:pic>
                  <pic:nvPicPr>
                    <pic:cNvPr id="0" name="tier_distribution.png"/>
                    <pic:cNvPicPr/>
                  </pic:nvPicPr>
                  <pic:blipFill>
                    <a:blip r:embed="rId38"/>
                    <a:stretch>
                      <a:fillRect/>
                    </a:stretch>
                  </pic:blipFill>
                  <pic:spPr>
                    <a:xfrm>
                      <a:off x="0" y="0"/>
                      <a:ext cx="5486400" cy="3397669"/>
                    </a:xfrm>
                    <a:prstGeom prst="rect"/>
                  </pic:spPr>
                </pic:pic>
              </a:graphicData>
            </a:graphic>
          </wp:inline>
        </w:drawing>
      </w:r>
    </w:p>
    <w:p>
      <w:r>
        <w:rPr>
          <w:b/>
          <w:sz w:val="20"/>
        </w:rPr>
        <w:t xml:space="preserve">Figure 29: Screening Tier Distribution: </w:t>
      </w:r>
      <w:r>
        <w:rPr>
          <w:color w:val="424242"/>
          <w:sz w:val="20"/>
        </w:rPr>
        <w:t>Screening results indicate that a larger number of records were retained at tier 2 screening (n = 1,725) compared with tier 3 screening (n = 1,275). The bar chart highlights this reduction of 450 papers between tiers, illustrating the progressive narrowing of the dataset through the multistage screening process.</w:t>
      </w:r>
    </w:p>
    <w:p/>
    <w:p>
      <w:pPr>
        <w:pStyle w:val="Heading2"/>
      </w:pPr>
      <w:r>
        <w:t>Figure 30: Document Type Distribution</w:t>
      </w:r>
    </w:p>
    <w:p>
      <w:pPr>
        <w:jc w:val="center"/>
      </w:pPr>
      <w:r>
        <w:drawing>
          <wp:inline xmlns:a="http://schemas.openxmlformats.org/drawingml/2006/main" xmlns:pic="http://schemas.openxmlformats.org/drawingml/2006/picture">
            <wp:extent cx="5486400" cy="3254206"/>
            <wp:docPr id="31" name="Picture 31"/>
            <wp:cNvGraphicFramePr>
              <a:graphicFrameLocks noChangeAspect="1"/>
            </wp:cNvGraphicFramePr>
            <a:graphic>
              <a:graphicData uri="http://schemas.openxmlformats.org/drawingml/2006/picture">
                <pic:pic>
                  <pic:nvPicPr>
                    <pic:cNvPr id="0" name="document_type_distribution.png"/>
                    <pic:cNvPicPr/>
                  </pic:nvPicPr>
                  <pic:blipFill>
                    <a:blip r:embed="rId39"/>
                    <a:stretch>
                      <a:fillRect/>
                    </a:stretch>
                  </pic:blipFill>
                  <pic:spPr>
                    <a:xfrm>
                      <a:off x="0" y="0"/>
                      <a:ext cx="5486400" cy="3254206"/>
                    </a:xfrm>
                    <a:prstGeom prst="rect"/>
                  </pic:spPr>
                </pic:pic>
              </a:graphicData>
            </a:graphic>
          </wp:inline>
        </w:drawing>
      </w:r>
    </w:p>
    <w:p>
      <w:r>
        <w:rPr>
          <w:b/>
          <w:sz w:val="20"/>
        </w:rPr>
        <w:t xml:space="preserve">Figure 30: Document Type Distribution: </w:t>
      </w:r>
      <w:r>
        <w:rPr>
          <w:color w:val="424242"/>
          <w:sz w:val="20"/>
        </w:rPr>
        <w:t>The figure demonstrates that the literature on large language models in healthcare simulation is dominated by standard research articles (n=1087), followed by unspecified document types (n=396) and journal articles explicitly labeled as such (n=292). Preprints (n=234) and reviews (n=229) form substantial secondary categories, while other formats—including book chapters (n=69), letters (n=24), and comparative study journal articles (n=22)—are comparatively infrequent, indicating that the field’s scholarly communication is concentrated in conventional article and preprint formats.</w:t>
      </w:r>
    </w:p>
    <w:p/>
    <w:p>
      <w:pPr>
        <w:pStyle w:val="Heading2"/>
      </w:pPr>
      <w:r>
        <w:t>Figure 31: Metadata Completeness</w:t>
      </w:r>
    </w:p>
    <w:p>
      <w:pPr>
        <w:jc w:val="center"/>
      </w:pPr>
      <w:r>
        <w:drawing>
          <wp:inline xmlns:a="http://schemas.openxmlformats.org/drawingml/2006/main" xmlns:pic="http://schemas.openxmlformats.org/drawingml/2006/picture">
            <wp:extent cx="5486400" cy="3012989"/>
            <wp:docPr id="32" name="Picture 32"/>
            <wp:cNvGraphicFramePr>
              <a:graphicFrameLocks noChangeAspect="1"/>
            </wp:cNvGraphicFramePr>
            <a:graphic>
              <a:graphicData uri="http://schemas.openxmlformats.org/drawingml/2006/picture">
                <pic:pic>
                  <pic:nvPicPr>
                    <pic:cNvPr id="0" name="data_completeness.png"/>
                    <pic:cNvPicPr/>
                  </pic:nvPicPr>
                  <pic:blipFill>
                    <a:blip r:embed="rId40"/>
                    <a:stretch>
                      <a:fillRect/>
                    </a:stretch>
                  </pic:blipFill>
                  <pic:spPr>
                    <a:xfrm>
                      <a:off x="0" y="0"/>
                      <a:ext cx="5486400" cy="3012989"/>
                    </a:xfrm>
                    <a:prstGeom prst="rect"/>
                  </pic:spPr>
                </pic:pic>
              </a:graphicData>
            </a:graphic>
          </wp:inline>
        </w:drawing>
      </w:r>
    </w:p>
    <w:p>
      <w:r>
        <w:rPr>
          <w:b/>
          <w:sz w:val="20"/>
        </w:rPr>
        <w:t xml:space="preserve">Figure 31: Metadata Completeness: </w:t>
      </w:r>
      <w:r>
        <w:rPr>
          <w:color w:val="424242"/>
          <w:sz w:val="20"/>
        </w:rPr>
        <w:t>Metadata completeness is very high for most fields, with year and citations both fully populated (100.0%), authors at 99.4%, abstracts at 98.6%, and DOIs at 97.4%, all exceeding the 90% quality threshold. In contrast, completeness is lower for keywords (80.9%) and journal information (77.9%), which fall between the 70% and 90% thresholds and therefore represent the least complete components of the dataset.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