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t>**Keywords:**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have suggested that models such as GPT‑4 and Claude can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t>**Tier 1 (broadest):** Large language model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t>**Definite include:** at least five cross-category keyword matches, including at least one LLM term;</w:t>
      </w:r>
    </w:p>
    <w:p>
      <w:pPr>
        <w:pStyle w:val="ListBullet"/>
      </w:pPr>
      <w:r>
        <w:t>**Definite exclude:** zero LLM terms;</w:t>
      </w:r>
    </w:p>
    <w:p>
      <w:pPr>
        <w:pStyle w:val="ListBullet"/>
      </w:pPr>
      <w:r>
        <w:t>**Uncertain:** all remaining records.</w:t>
      </w:r>
    </w:p>
    <w:p>
      <w:r>
        <w:t>This procedure yielded **3,648** definite includes, **73,990** definite excludes, and **8,997**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pPr>
      <w:r>
        <w:t>**Tier-based subsets:** Within the core corpus, Tier 2 papers focus on LLMs in healthcare simulation, while Tier 3 papers additionally include an explicit NTS component. These subsets are used for sensitivity analyses where relevant.</w:t>
      </w:r>
    </w:p>
    <w:p>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All analyses were performed in Python using reproducible scripts. Unless otherwise indicated, all quantitative results in the Results section refer to the **3,112** papers in the core corpus, for which citation data were available for **100.0%** of records.</w:t>
      </w:r>
    </w:p>
    <w:p>
      <w:r>
        <w:t>**Performance analysis** included:</w:t>
      </w:r>
    </w:p>
    <w:p>
      <w:pPr>
        <w:pStyle w:val="ListBullet"/>
      </w:pPr>
      <w:r>
        <w:t>annual publication trends (2020–2026) with compound annual growth rate (CAGR) computed from the yearly counts (54, 56, 88, 367, 767, 1,415, 365; total **3,112** papers; overall CAGR **37.5%**);</w:t>
      </w:r>
    </w:p>
    <w:p>
      <w:pPr>
        <w:pStyle w:val="ListBullet"/>
      </w:pPr>
      <w:r>
        <w:t>citation metrics computed on the full core corpus, including total citations (**46,823**), mean citations (**15.05**), median citations (**1**), maximum citations (**1,150**), and distribution of uncited papers (**1,267**, 40.7%);</w:t>
      </w:r>
    </w:p>
    <w:p>
      <w:pPr>
        <w:pStyle w:val="ListBullet"/>
      </w:pPr>
      <w:r>
        <w:t>h‑index (**92**), g‑index (**166**), and i10‑index (**772**) for the corpus;</w:t>
      </w:r>
    </w:p>
    <w:p>
      <w:pPr>
        <w:pStyle w:val="ListBullet"/>
      </w:pPr>
      <w:r>
        <w:t>author productivity and collaboration patterns, including total unique authors (**12,937**), collaboration index (mean authors per paper: **5.51**), and fit to Lotka’s law (Lotka exponent β = **2.559**, R² = **0.941**);</w:t>
      </w:r>
    </w:p>
    <w:p>
      <w:pPr>
        <w:pStyle w:val="ListBullet"/>
      </w:pPr>
      <w:r>
        <w:t>journal and source concentration, including total unique journals/sources (**1,343**), papers with journal data (**2,407**), and Bradford’s law zones (Zone 1: 63 journals, 804 papers; Zone 2: 478 journals, 801 papers; Zone 3: 802 journals, 802 papers).</w:t>
      </w:r>
    </w:p>
    <w:p>
      <w:r>
        <w:t>**Science mapping**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t>**1,730** papers (**55.6%**) were classified into at least one NTS domain;</w:t>
      </w:r>
    </w:p>
    <w:p>
      <w:pPr>
        <w:pStyle w:val="ListBullet"/>
      </w:pPr>
      <w:r>
        <w:t>**563** papers (**18.1%**) were mapped to multiple domains;</w:t>
      </w:r>
    </w:p>
    <w:p>
      <w:pPr>
        <w:pStyle w:val="ListBullet"/>
      </w:pPr>
      <w:r>
        <w:t>**1,382** papers (**44.4%**) had no NTS domain assignment under the applied patterns.</w:t>
      </w:r>
    </w:p>
    <w:p>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