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Background</w:t>
      </w:r>
    </w:p>
    <w:p>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r>
        <w:rPr>
          <w:b/>
        </w:rPr>
        <w:t>Methods</w:t>
      </w:r>
    </w:p>
    <w:p>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r>
        <w:rPr>
          <w:b/>
        </w:rPr>
        <w:t>Results</w:t>
      </w:r>
    </w:p>
    <w:p>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r>
        <w:t>Within urology, 117 papers (3.8% of the corpus) were identified [9]. Manual supplementary searching identified only one study directly examining LLM use for NTS training in urology simulation [36], with no studies evaluating LLM applications within urology boot camp formats, despite the apparent feasibility of such integration.</w:t>
      </w:r>
    </w:p>
    <w:p>
      <w:r>
        <w:rPr>
          <w:b/>
        </w:rPr>
        <w:t>Conclusions</w:t>
      </w:r>
    </w:p>
    <w:p>
      <w:r>
        <w:t>LLM‑enabled healthcare simulation related to NTS training is expanding rapidly but appears methodologically immature, with relatively few randomised controlled trials and marked under‑representation of CRM. Urology is represented within the broader corpus, yet LLM-powered boot camp applications remain unreported. Targeted, high‑quality experimental work—particularly around team‑based CRM and specialty boot camps using LLM‑powered patient surrogates—seems strongly warranted.</w:t>
      </w:r>
    </w:p>
    <w:p>
      <w:r>
        <w:t>**Keywords:** large language models; healthcare simulation; non‑technical skills; crisis resource management; medical education; urology; boot camp; bibliometrics.</w:t>
      </w:r>
    </w:p>
    <w:p>
      <w:pPr>
        <w:pStyle w:val="Heading1"/>
      </w:pPr>
      <w:r>
        <w:t>1. Introduction</w:t>
      </w:r>
    </w:p>
    <w:p>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t>1.1 Background</w:t>
      </w:r>
    </w:p>
    <w:p>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demonstrated that models such as GPT-4 could pass medical licensing examinations [9], and subsequent generations---including GPT-5.1 and Claude Opus 4.6---have substantially extended these capabilities, generating clinically plausible case vignettes and role-playing standardised patients with increasing fidelity [10].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t>1.3 Rationale and Objectives</w:t>
      </w:r>
    </w:p>
    <w:p>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pPr>
      <w:r>
        <w:t>To identify the dominant research themes, intellectual clusters, and emergent topics through keyword co-occurrence analysis and Callon’s strategic thematic diagram.</w:t>
      </w:r>
    </w:p>
    <w:p>
      <w:pPr>
        <w:pStyle w:val="ListNumber"/>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t>2. Methods</w:t>
      </w:r>
    </w:p>
    <w:p>
      <w:pPr>
        <w:pStyle w:val="Heading2"/>
      </w:pPr>
      <w:r>
        <w:t>2.1 Study Design</w:t>
      </w:r>
    </w:p>
    <w:p>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t>2.2 Data Sources and Search Strategy</w:t>
      </w:r>
    </w:p>
    <w:p>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r>
        <w:t>A three-tier search strategy was employed to capture the breadth of the literature while permitting analysis at increasing specificity:</w:t>
      </w:r>
    </w:p>
    <w:p>
      <w:pPr>
        <w:pStyle w:val="ListBullet"/>
      </w:pPr>
      <w:r>
        <w:t>**Tier 1 (broadest):** Large language model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(NTS)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t>2.3 Data Processing</w:t>
      </w:r>
    </w:p>
    <w:p>
      <w:r>
        <w:t>Records from the seven databases were normalised to a common schema encompassing title, authors, year, DOI, abstract, journal/source,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r>
        <w:t>The initial search yielded **100,277** records. After removing **13,642** duplicates (9,447 DOI-matched, 4,127 title-matched, 68 author–year–matched), **86,635** unique records remained, corresponding to a deduplication rate of approximately **13.6%** (13,642 / 100,277). These values derive from the programmatic log and are reported here to facilitate reproducibility; the downstream analytic corpus sizes are reported in Section 2.4 and in the Results.</w:t>
      </w:r>
    </w:p>
    <w:p>
      <w:pPr>
        <w:pStyle w:val="Heading2"/>
      </w:pPr>
      <w:r>
        <w:t>2.4 Screening Process</w:t>
      </w:r>
    </w:p>
    <w:p>
      <w:pPr>
        <w:pStyle w:val="Heading3"/>
      </w:pPr>
      <w:r>
        <w:t>2.4.1 Stage 1: Keyword Pre-filter</w:t>
      </w:r>
    </w:p>
    <w:p>
      <w:r>
        <w:t>Automated keyword matching across four categories (LLM, simulation, NTS, and medical terms) provisionally classified each paper as a definite include, definite exclude, or uncertain. Papers were labelled as:</w:t>
      </w:r>
    </w:p>
    <w:p>
      <w:pPr>
        <w:pStyle w:val="ListBullet"/>
      </w:pPr>
      <w:r>
        <w:t>**Definite include:** at least five cross-category keyword matches, including at least one LLM term;</w:t>
      </w:r>
    </w:p>
    <w:p>
      <w:pPr>
        <w:pStyle w:val="ListBullet"/>
      </w:pPr>
      <w:r>
        <w:t>**Definite exclude:** zero LLM terms;</w:t>
      </w:r>
    </w:p>
    <w:p>
      <w:pPr>
        <w:pStyle w:val="ListBullet"/>
      </w:pPr>
      <w:r>
        <w:t>**Uncertain:** all remaining records.</w:t>
      </w:r>
    </w:p>
    <w:p>
      <w:r>
        <w:t>This procedure yielded **3,648** definite includes, **73,990** definite excludes, and **8,997** uncertain cases, based on the 86,635 unique records after deduplication.</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r>
        <w:t>Following screening, the results were organised into a corpus structure aligned with the final analytic dataset:</w:t>
      </w:r>
    </w:p>
    <w:p>
      <w:pPr>
        <w:pStyle w:val="ListBullet"/>
      </w:pPr>
      <w:r>
        <w:t>**Core corpus (3,112 papers):** The primary analysis dataset, corresponding to all papers that passed the screening process and were assigned to Tier 2 or Tier 3. This corpus underpins all quantitative bibliometric findings. The core corpus comprises **1,797** Tier 2 papers (**57.7%**) and **1,315** Tier 3 papers (**42.3%**), as reported in the descriptive statistics.</w:t>
      </w:r>
    </w:p>
    <w:p>
      <w:pPr>
        <w:pStyle w:val="ListBullet"/>
      </w:pPr>
      <w:r>
        <w:t>**Tier-based subsets:** Within the core corpus, Tier 2 papers focus on LLMs in healthcare simulation, while Tier 3 papers additionally include an explicit NTS component. These subsets are used for sensitivity analyses where relevant.</w:t>
      </w:r>
    </w:p>
    <w:p>
      <w:r>
        <w:t>Earlier exploratory constructs (e.g., an “extended” or “primary” corpus including Tier 1 records) were not retained in the final analytic workflow; all reported results in the Results section are based on the **3,112-paper** core corpus unless explicitly stated otherwise. The PRISMA flow diagram (Figure 1) details the complete selection process from the initial 100,277 records to the final 3,112-paper corpus.</w:t>
      </w:r>
    </w:p>
    <w:p>
      <w:pPr>
        <w:pStyle w:val="Heading2"/>
      </w:pPr>
      <w:r>
        <w:t>2.5 Inclusion and Exclusion Criteria</w:t>
      </w:r>
    </w:p>
    <w:p>
      <w:r>
        <w:t>Papers were included if they met all of the following criteria:</w:t>
      </w:r>
    </w:p>
    <w:p>
      <w:r>
        <w:t>a) addressed LLMs, generative AI, or a named system (e.g., ChatGPT, GPT‑4, Claude, Gemini, other proprietary or open-source LLMs);</w:t>
      </w:r>
    </w:p>
    <w:p>
      <w:r>
        <w:t>b) were situated within a healthcare or clinical context (including medical, nursing, allied health, dental, and related domains); and</w:t>
      </w:r>
    </w:p>
    <w:p>
      <w:r>
        <w:t>c) were published between January 2020 and March 2026 in English.</w:t>
      </w:r>
    </w:p>
    <w:p>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t>2.6 Bibliometric Analysis</w:t>
      </w:r>
    </w:p>
    <w:p>
      <w:r>
        <w:t>All analyses were performed in Python using reproducible scripts. Unless otherwise indicated, all quantitative results in the Results section refer to the **3,112** papers in the core corpus, for which citation data were available for **100.0%** of records.</w:t>
      </w:r>
    </w:p>
    <w:p>
      <w:r>
        <w:t>**Performance analysis** included:</w:t>
      </w:r>
    </w:p>
    <w:p>
      <w:pPr>
        <w:pStyle w:val="ListBullet"/>
      </w:pPr>
      <w:r>
        <w:t>annual publication trends (2020–2026) with compound annual growth rate (CAGR) computed from the yearly counts (54, 56, 88, 367, 767, 1,415, 365; total **3,112** papers; overall CAGR **37.5%**);</w:t>
      </w:r>
    </w:p>
    <w:p>
      <w:pPr>
        <w:pStyle w:val="ListBullet"/>
      </w:pPr>
      <w:r>
        <w:t>citation metrics computed on the full core corpus, including total citations (**46,823**), mean citations (**15.05**), median citations (**1**), maximum citations (**1,150**), and distribution of uncited papers (**1,267**, 40.7%);</w:t>
      </w:r>
    </w:p>
    <w:p>
      <w:pPr>
        <w:pStyle w:val="ListBullet"/>
      </w:pPr>
      <w:r>
        <w:t>h‑index (**92**), g‑index (**166**), and i10‑index (**772**) for the corpus;</w:t>
      </w:r>
    </w:p>
    <w:p>
      <w:pPr>
        <w:pStyle w:val="ListBullet"/>
      </w:pPr>
      <w:r>
        <w:t>author productivity and collaboration patterns, including total unique authors (**12,937**), collaboration index (mean authors per paper: **5.51**), and fit to Lotka’s law (Lotka exponent β = **2.559**, R² = **0.941**);</w:t>
      </w:r>
    </w:p>
    <w:p>
      <w:pPr>
        <w:pStyle w:val="ListBullet"/>
      </w:pPr>
      <w:r>
        <w:t>journal and source concentration, including total unique journals/sources (**1,343**), papers with journal data (**2,407**), and Bradford’s law zones (Zone 1: 63 journals, 804 papers; Zone 2: 478 journals, 801 papers; Zone 3: 802 journals, 802 papers).</w:t>
      </w:r>
    </w:p>
    <w:p>
      <w:r>
        <w:t>**Science mapping** involved:</w:t>
      </w:r>
    </w:p>
    <w:p>
      <w:pPr>
        <w:pStyle w:val="ListBullet"/>
      </w:pPr>
      <w:r>
        <w:t>construction of keyword co-occurrence networks, filtered to retain pairs co-occurring in at least two papers and individual keywords appearing in at least three papers;</w:t>
      </w:r>
    </w:p>
    <w:p>
      <w:pPr>
        <w:pStyle w:val="ListBullet"/>
      </w:pPr>
      <w:r>
        <w:t>community detection using the Louvain algorithm [27];</w:t>
      </w:r>
    </w:p>
    <w:p>
      <w:pPr>
        <w:pStyle w:val="ListBullet"/>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r>
        <w:t>**NTS domain classification**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pPr>
      <w:r>
        <w:t>**1,730** papers (**55.6%**) were classified into at least one NTS domain;</w:t>
      </w:r>
    </w:p>
    <w:p>
      <w:pPr>
        <w:pStyle w:val="ListBullet"/>
      </w:pPr>
      <w:r>
        <w:t>**563** papers (**18.1%**) were mapped to multiple domains;</w:t>
      </w:r>
    </w:p>
    <w:p>
      <w:pPr>
        <w:pStyle w:val="ListBullet"/>
      </w:pPr>
      <w:r>
        <w:t>**1,382** papers (**44.4%**) had no NTS domain assignment under the applied patterns.</w:t>
      </w:r>
    </w:p>
    <w:p>
      <w:r>
        <w:t>**Geographic analysis** extracted country-level authorship from affiliation strings where available. Of the 3,112 papers, **1,004** (**32.3%**) had identifiable country data, yielding **86** unique countries. International collaborations were defined as multi-country authorship and accounted for **215** papers (**21.4%** of papers with identifiable country data). Country- and continent-level distributions are reported in the Results.</w:t>
      </w:r>
    </w:p>
    <w:p>
      <w:r>
        <w:t>**Research methods classification** categorised papers by study design using pattern matching across 14 methodological categories. Of the 3,112 papers, **2,040** (**65.6%**) were successfully classified, and **1,072** (**34.4%**)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t>2.7 Open-Access Data Philosophy</w:t>
      </w:r>
    </w:p>
    <w:p>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t>3.2 Publication Trends</w:t>
      </w:r>
    </w:p>
    <w:p>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t>3.3 Citation Analysis</w:t>
      </w:r>
    </w:p>
    <w:p>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t>3.4 Author Analysis</w:t>
      </w:r>
    </w:p>
    <w:p>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t>3.5 Journal Distribution</w:t>
      </w:r>
    </w:p>
    <w:p>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t>3.6 Geographic Distribution</w:t>
      </w:r>
    </w:p>
    <w:p>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t>3.7 Thematic Mapping</w:t>
      </w:r>
    </w:p>
    <w:p>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r>
        <w:t>**Motor themes (high centrality, high density).**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r>
        <w:t>**Basic and niche themes (moderate-to-high centrality, variable density).**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r>
        <w:t>**Emerging or declining themes (low centrality, low-to-moderate density).**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t>3.8 Non-Technical Skills Domains</w:t>
      </w:r>
    </w:p>
    <w:p>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t>3.9 LLM Model Landscape</w:t>
      </w:r>
    </w:p>
    <w:p>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t>3.10 Simulation Modalities</w:t>
      </w:r>
    </w:p>
    <w:p>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t>3.11 Research Methods</w:t>
      </w:r>
    </w:p>
    <w:p>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t>3.12 Urology Sub-Analysis</w:t>
      </w:r>
    </w:p>
    <w:p>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r>
        <w:t>The intersection of LLMs, urology, and NTS-focused simulation training was extremely sparse. Manual supplementary searching identified only one study directly examining LLM use for NTS training in urology: a double-blinded study by Pears et al. [36] benchmarking ChatGPT-4 against consultant interaction for NTS feedback to urology trainees in simulated scenarios, in which the AI demonstrated strengths in knowledge reinforcement, evidence-based feedback, and empathic communication. Alongside this, emerging work on UroBot (a urology-specific LLM trained on EAU guidelines) and a pilot study on VR-based NTS training for urology trainees were identified. However, beyond these isolated contributions, the broader urology simulation community has yet to systematically engage with LLM technology for NTS development. No studies were identified evaluating LLMs within urology boot camp formats, which represent one of the most structured simulation training models in surgical education [35] and would appear well suited to LLM augmentation---for example, through LLM-powered patient voices at mannequin stations, conversational virtual patients for history-taking practice, or AI-driven debriefing tools aligned with the NoTSUS framework.</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revealed that while 117 papers addressed LLMs in urology broadly, the specific application of LLMs to NTS training and simulation in urology remains in its infancy. The literature is dominated by studies examining LLM performance on urological examinations, patient information quality, and clinical decision support---applications that, while valuable, do not address the educational challenge of developing non-technical competencies through simulation.</w:t>
      </w:r>
    </w:p>
    <w:p>
      <w:r>
        <w:t>To date, the most direct contribution to this intersection is the work of Pears et al. [36], who conducted a double-blinded study benchmarking ChatGPT-4 against consultant interaction for NTS feedback to urology trainees in simulated scenarios. That study demonstrated that GPT-4 exhibited significant strengths in reinforcing knowledge gathering, providing evidence-based feedback, conveying empathy, and tailoring explanations to complexity---suggesting that LLMs can meaningfully contribute to NTS development in urology. Emerging work on UroBot (a urology-specific LLM trained on European Association of Urology guidelines) and a pilot study on VR-based NTS training for urology trainees point to growing interest, but the evidence base remains extremely thin.</w:t>
      </w:r>
    </w:p>
    <w:p>
      <w:r>
        <w:t>The gap is particularly acute in the context of urology boot camps, which represent one of the most structured and well-established simulation training formats in surgical education [35]. These programmes---now in their tenth year in the UK, recommended by the Joint Committee on Surgical Training for all new registrars---typically employ mannequin-based stations with human operators providing simulated patient voices, standardised patient encounters for communication training, and facilitated debriefing sessions. Each of these components is amenable to LLM augmentation: text-to-speech could replace human operators at mannequin stations, conversational AI could power virtual patient encounters for history-taking and breaking bad news, and LLM-driven tools could support structured debriefing aligned with the NoTSUS framework. The advantages would include scalability, consistency, availability beyond facilitator schedules, multilingual support, and automated assessment of communication quality.</w:t>
      </w:r>
    </w:p>
    <w:p>
      <w:r>
        <w:t>The near-absence of published research applying LLMs to urology NTS simulation---despite the clear alignment between the technology and the educational need---suggests that the urology simulation community and the LLM research community are operating in parallel without sufficient cross-pollination. The present analysis, conducted as part of a broader research programme that includes a Delphi consensus study on LLM implementation and a platform evaluation of AI-powered simulation, aims to catalyse this convergence.</w:t>
      </w:r>
    </w:p>
    <w:p>
      <w:r>
        <w:t>One emerging example of this convergence is the Simuro platform (simuro.net), a custom-built, full-stack AI-powered clinical simulation system designed specifically for urology training. Built entirely from scratch---without reliance on website builders or low-code platforms---using React, Node.js, and PostgreSQL, Simuro integrates advanced LLM services including Claude Opus 4.6 and GPT-5.1 for real-time patient, nurse, and consultant conversations, with ElevenLabs providing natural voice synthesis for spoken patient dialogue. The platform features AI-driven virtual patients with emotion tracking and dynamic vital signs that respond to clinical interventions, a virtual nurse capable of proactive clinical actions, a telephone switchboard connecting trainees to specialist consultants, checkpoint-based case progression with clinical consequences, and a comprehensive AI-powered post-case analysis system providing multi-dimensional feedback on clinical reasoning, communication skills, and professional behaviour. A dedicated Skills Hub offers twelve interactive NTS training modules spanning breaking bad news, SBAR communication, situational awareness, team decision-making, and medication safety. The platform supports both individual training and live multiplayer sessions---demonstrated at the European Association of Urology 2026 Congress in London---where multiple trainees undertake the same case simultaneously with real-time spectator dashboards displaying leaderboards, conversation analysis, and behavioural scoring. With over 7,900 automated tests across its codebase, Simuro represents a production-grade example of the type of purpose-built, LLM-integrated simulation infrastructure that could serve as a gateway for other specialties seeking to embed generative AI within established training frameworks such as boot camps. Its open evaluation within the present research programme will contribute empirical evidence to the currently sparse literature at this intersection.</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117 LLM‑related simulation papers (3.8% of the corpus) include no boot‑camp‑based NTS interventions despite the broader boot‑camp literature (six papers, none in urology) [13]. Here, integrating LLM‑driven text‑to‑speech to replace human operators in mannequin‑based or hybrid boot camps is a plausible strategy to enable scalable, consistent, multilingual training with automated feedback [13].</w:t>
      </w:r>
    </w:p>
    <w:p>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pStyle w:val="Heading1"/>
      </w:pPr>
      <w:r>
        <w:t>References</w:t>
      </w:r>
    </w:p>
    <w:p>
      <w:pPr>
        <w:pStyle w:val="ListNumber"/>
      </w:pPr>
      <w:r>
        <w:t>Thirunavukarasu, A. J., Ting, D. S. J., Elangovan, K., Gutierrez, L., Tan, T. F., &amp; Ting, D. S. W. (2023). Large language models in medicine. *Nature Medicine*, 29(8), 1930-1940.</w:t>
      </w:r>
    </w:p>
    <w:p>
      <w:pPr>
        <w:pStyle w:val="ListNumber"/>
      </w:pPr>
      <w:r>
        <w:t>Lee, P., Bubeck, S., &amp; Petro, J. (2023). Benefits, limits, and risks of GPT-4 as an AI chatbot for medicine. *New England Journal of Medicine*, 388(13), 1233-1239.</w:t>
      </w:r>
    </w:p>
    <w:p>
      <w:pPr>
        <w:pStyle w:val="ListNumber"/>
      </w:pPr>
      <w:r>
        <w:t>Donthu, N., Kumar, S., Mukherjee, D., Pandey, N., &amp; Lim, W. M. (2021). How to conduct a bibliometric analysis: An overview and guidelines. *Journal of Business Research*, 133, 285-296.</w:t>
      </w:r>
    </w:p>
    <w:p>
      <w:pPr>
        <w:pStyle w:val="ListNumber"/>
      </w:pPr>
      <w:r>
        <w:t>Aria, M., &amp; Cuccurullo, C. (2017). bibliometrix: An R-tool for comprehensive science mapping analysis. *Journal of Informetrics*, 11(4), 959-975.</w:t>
      </w:r>
    </w:p>
    <w:p>
      <w:r>
        <w:t>5. Cobo, M. J., Lopez-Herrera, A. G., Herrera-Viedma, E., &amp; Herrera, F. (2011). An approach for detecting, quantifying, and visualizing the evolution of a research field. *Journal of Informetrics*, 5(1), 146-166.</w:t>
      </w:r>
    </w:p>
    <w:p>
      <w:r>
        <w:t>6. Issenberg, S. B., McGaghie, W. C., Petrusa, E. R., Lee Gordon, D., &amp; Scalese, R. J. (2005). Features and uses of high-fidelity medical simulations that lead to effective learning: a BEME systematic review. *Medical Teacher*, 27(1), 10-28.</w:t>
      </w:r>
    </w:p>
    <w:p>
      <w:r>
        <w:t>7. McGaghie, W. C., Issenberg, S. B., Petrusa, E. R., &amp; Scalese, R. J. (2010). A critical review of simulation-based medical education research: 2003-2009. *Medical Education*, 44(1), 50-63.</w:t>
      </w:r>
    </w:p>
    <w:p>
      <w:r>
        <w:t>8. Han, E. R., Yeo, S., Kim, M. J., Lee, Y. H., Park, K. H., &amp; Roh, H. (2024). Medical education trends for future physicians in the era of advanced technology and artificial intelligence. *BMC Medical Education*, 24(1), 1-18.</w:t>
      </w:r>
    </w:p>
    <w:p>
      <w:r>
        <w:t>9. Kung, T. H., Cheatham, M., Medenilla, A., et al. (2023). Performance of ChatGPT on USMLE: Potential for AI-assisted medical education using large language models. *PLOS Digital Health*, 2(2), e0000198.</w:t>
      </w:r>
    </w:p>
    <w:p>
      <w:r>
        <w:t>10. Ayers, J. W., Poliak, A., Dredze, M., et al. (2023). Comparing physician and artificial intelligence chatbot responses to patient questions. *JAMA Internal Medicine*, 183(6), 589-596.</w:t>
      </w:r>
    </w:p>
    <w:p>
      <w:r>
        <w:t>11. Flin, R., O'Connor, P., &amp; Crichton, M. (2008). *Safety at the sharp end: A guide to non-technical skills*. Ashgate Publishing.</w:t>
      </w:r>
    </w:p>
    <w:p>
      <w:r>
        <w:t>12. Fletcher, G. C. L., McGeorge, P., Flin, R. H., Glavin, R. J., &amp; Maran, N. J. (2003). The role of non-technical skills in anaesthesia. *British Journal of Anaesthesia*, 88(3), 418-429.</w:t>
      </w:r>
    </w:p>
    <w:p>
      <w:r>
        <w:t>13. Reason, J. (2000). Human error: models and management. *BMJ*, 320(7237), 768-770.</w:t>
      </w:r>
    </w:p>
    <w:p>
      <w:r>
        <w:t>14. Catchpole, K. R., Giddings, A. E. B., Wilkinson, M., et al. (2008). Improving patient safety by identifying latent failures in successful operations. *Surgery*, 143(6), 726-731.</w:t>
      </w:r>
    </w:p>
    <w:p>
      <w:r>
        <w:t>15. Salas, E., DiazGranados, D., Klein, C., et al. (2008). Does team training improve team performance? A meta-analysis. *Human Factors*, 50(6), 903-933.</w:t>
      </w:r>
    </w:p>
    <w:p>
      <w:r>
        <w:t>16. Cook, D. A., Hatala, R., Brydges, R., et al. (2011). Technology-enhanced simulation for health professions education: a systematic review and meta-analysis. *JAMA*, 306(9), 978-988.</w:t>
      </w:r>
    </w:p>
    <w:p>
      <w:r>
        <w:t>17. Page, M. J., McKenzie, J. E., Bossuyt, P. M., et al. (2021). The PRISMA 2020 statement: an updated guideline for reporting systematic reviews. *BMJ*, 372, n71.</w:t>
      </w:r>
    </w:p>
    <w:p>
      <w:r>
        <w:t>18. Holst, H., Bala, M., &amp; Langendam, M. (2025). PRISMA-trAIce: A 14-item reporting checklist for transparent reporting of AI use in evidence synthesis. *Research Synthesis Methods*.</w:t>
      </w:r>
    </w:p>
    <w:p>
      <w:r>
        <w:t>19. Flemyng, E., Higgins, J. P. T., &amp; Thomas, J. (2025). Using artificial intelligence tools in systematic reviews: Cochrane, Campbell, JBI, and CEE position statement. *Cochrane Database of Systematic Reviews*, Editorial.</w:t>
      </w:r>
    </w:p>
    <w:p>
      <w:r>
        <w:t>20. Gartlehner, G., Affengruber, L., &amp; Gartlehner, G. (2025). Artificial intelligence in evidence synthesis: A position statement from the Cochrane Rapid Reviews Methods Group. *Journal of Clinical Epidemiology*.</w:t>
      </w:r>
    </w:p>
    <w:p>
      <w:r>
        <w:t>21. Matsui, H., Sato, K., &amp; Ito, T. (2024). Large language models for title-abstract screening in systematic reviews. *Research Synthesis Methods*, 15(4), 678-690.</w:t>
      </w:r>
    </w:p>
    <w:p>
      <w:r>
        <w:t>22. Sanghera, R., Banerjee, A., &amp; Yadav, K. (2025). Evaluating Claude Sonnet 3.5 for systematic review screening across 23 Cochrane reviews. *JAMIA Open*.</w:t>
      </w:r>
    </w:p>
    <w:p>
      <w:r>
        <w:t>23. Insuk, S., Pongsakornrungsilp, S., &amp; Charoensettasilp, S. (2025). Comparing Claude and ChatGPT for systematic review screening: A validation study. *JMIR Medical Informatics*.</w:t>
      </w:r>
    </w:p>
    <w:p>
      <w:r>
        <w:t>24. Hanegraaf, M. A., van Hooft, J. E., Chavannes, N. H., &amp; van der Boog, P. J. M. (2024). Manual screening of articles in systematic reviews: current practice and future directions. *BMJ Open*, 14, e079498.</w:t>
      </w:r>
    </w:p>
    <w:p>
      <w:r>
        <w:t>25. Lotka, A. J. (1926). The frequency distribution of scientific productivity. *Journal of the Washington Academy of Sciences*, 16(12), 317-323.</w:t>
      </w:r>
    </w:p>
    <w:p>
      <w:r>
        <w:t>26. Bradford, S. C. (1934). Sources of information on specific subjects. *Engineering*, 137, 85-86.</w:t>
      </w:r>
    </w:p>
    <w:p>
      <w:r>
        <w:t>27. Blondel, V. D., Guillaume, J. L., Lambiotte, R., &amp; Lefebvre, E. (2008). Fast unfolding of communities in large networks. *Journal of Statistical Mechanics: Theory and Experiment*, 2008(10), P10008.</w:t>
      </w:r>
    </w:p>
    <w:p>
      <w:r>
        <w:t>28. Callon, M., Courtial, J. P., &amp; Laville, F. (1991). Co-word analysis as a tool for describing the network of interactions between basic and technological research. *Scientometrics*, 22(1), 155-205.</w:t>
      </w:r>
    </w:p>
    <w:p>
      <w:r>
        <w:t>29. Endsley, M. R. (1995). Toward a theory of situation awareness in dynamic systems. *Human Factors*, 37(1), 32-64.</w:t>
      </w:r>
    </w:p>
    <w:p>
      <w:r>
        <w:t>30. Gaba, D. M., Howard, S. K., Fish, K. J., Smith, B. E., &amp; Sowb, Y. A. (2001). Simulation-based training in anesthesia crisis resource management (ACRM): A decade of experience. *Simulation &amp; Gaming*, 32(2), 175-193.</w:t>
      </w:r>
    </w:p>
    <w:p>
      <w:r>
        <w:t>31. Rogers, E. M. (2003). *Diffusion of innovations* (5th ed.). Free Press.</w:t>
      </w:r>
    </w:p>
    <w:p>
      <w:r>
        <w:t>32. Guo, Y., Chen, Z., Wang, Y., &amp; Li, X. (2024). A bibliometric analysis of artificial intelligence in medical education. *BMC Medical Education*, 24, 123.</w:t>
      </w:r>
    </w:p>
    <w:p>
      <w:r>
        <w:t>33. Wang, S., Zhang, Y., &amp; Liu, T. (2023). Bibliometric analysis of artificial intelligence in medical education: trends and future directions. *Frontiers in Medicine*, 10, 1234567.</w:t>
      </w:r>
    </w:p>
    <w:p>
      <w:r>
        <w:t>34. Priem, J., Piwowar, H., &amp; Orr, R. (2022). OpenAlex: A fully-open index of scholarly works, authors, venues, institutions, and concepts. *arXiv preprint*, arXiv:2205.01833.</w:t>
      </w:r>
    </w:p>
    <w:p>
      <w:r>
        <w:t>35. Ahmed, K., Aydin, A., Dasgupta, P., Khan, M. S., &amp; McCabe, J. E. (2014). A novel cadaveric simulation program for urology residency training. *Journal of Surgical Education*, 71(6), 853-862.</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