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p>
    <w:p>
      <w:pPr>
        <w:jc w:val="both"/>
      </w:pPr>
    </w:p>
    <w:p>
      <w:pPr>
        <w:jc w:val="both"/>
      </w:pPr>
    </w:p>
    <w:p>
      <w:pPr>
        <w:jc w:val="both"/>
      </w:pPr>
    </w:p>
    <w:p>
      <w:pPr>
        <w:jc w:val="both"/>
      </w:pPr>
    </w:p>
    <w:p>
      <w:pPr>
        <w:jc w:val="center"/>
      </w:pPr>
      <w:r>
        <w:rPr>
          <w:b/>
          <w:color w:val="003366"/>
          <w:sz w:val="40"/>
        </w:rPr>
        <w:t>Large Language Models in Healthcare Simulation:</w:t>
        <w:br/>
        <w:t>A Bibliometric Analysis Mapping the Research Landscape</w:t>
      </w:r>
    </w:p>
    <w:p>
      <w:pPr>
        <w:jc w:val="both"/>
      </w:pPr>
    </w:p>
    <w:p>
      <w:pPr>
        <w:jc w:val="center"/>
      </w:pPr>
      <w:r>
        <w:rPr>
          <w:sz w:val="24"/>
        </w:rPr>
        <w:t>Matt Pears, [Colleague 1], [Colleague 2], Shekhar [Surname]*</w:t>
      </w:r>
    </w:p>
    <w:p>
      <w:pPr>
        <w:jc w:val="both"/>
      </w:pPr>
      <w:r>
        <w:br w:type="page"/>
      </w:r>
    </w:p>
    <w:p>
      <w:pPr>
        <w:jc w:val="both"/>
      </w:pPr>
      <w:r>
        <w:t>Background</w:t>
      </w:r>
    </w:p>
    <w:p>
      <w:pPr>
        <w:jc w:val="both"/>
      </w:pPr>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pPr>
        <w:jc w:val="both"/>
      </w:pPr>
      <w:r>
        <w:t>Methods</w:t>
      </w:r>
    </w:p>
    <w:p>
      <w:pPr>
        <w:jc w:val="both"/>
      </w:pPr>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pPr>
        <w:jc w:val="both"/>
      </w:pPr>
      <w:r>
        <w:t>Results</w:t>
      </w:r>
    </w:p>
    <w:p>
      <w:pPr>
        <w:jc w:val="both"/>
      </w:pPr>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pPr>
        <w:jc w:val="both"/>
      </w:pPr>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pPr>
        <w:jc w:val="both"/>
      </w:pPr>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pPr>
        <w:jc w:val="both"/>
      </w:pPr>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pPr>
        <w:jc w:val="both"/>
      </w:pPr>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pPr>
        <w:jc w:val="both"/>
      </w:pPr>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pPr>
        <w:jc w:val="both"/>
      </w:pPr>
      <w:r>
        <w:t>Conclusions</w:t>
      </w:r>
    </w:p>
    <w:p>
      <w:pPr>
        <w:jc w:val="both"/>
      </w:pPr>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pPr>
        <w:jc w:val="both"/>
      </w:pPr>
      <w:r>
        <w:rPr>
          <w:b/>
          <w:sz w:val="20"/>
        </w:rPr>
        <w:t xml:space="preserve">Keywords: </w:t>
      </w:r>
      <w:r>
        <w:rPr>
          <w:i/>
          <w:sz w:val="20"/>
        </w:rPr>
        <w:t>bibliometric analysis; large language models; healthcare simulation; non-technical skills; medical education; open access</w:t>
      </w:r>
    </w:p>
    <w:p>
      <w:pPr>
        <w:jc w:val="both"/>
      </w:pPr>
      <w:r>
        <w:br w:type="page"/>
      </w:r>
    </w:p>
    <w:p>
      <w:pPr>
        <w:pStyle w:val="Heading1"/>
      </w:pPr>
      <w:r>
        <w:rPr>
          <w:color w:val="003366"/>
        </w:rPr>
        <w:t>1. Introduction</w:t>
      </w:r>
    </w:p>
    <w:p>
      <w:pPr>
        <w:jc w:val="both"/>
      </w:pPr>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pPr>
        <w:jc w:val="both"/>
      </w:pPr>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rPr>
          <w:color w:val="004785"/>
        </w:rPr>
        <w:t>1.1 Background</w:t>
      </w:r>
    </w:p>
    <w:p>
      <w:pPr>
        <w:jc w:val="both"/>
      </w:pPr>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pPr>
        <w:jc w:val="both"/>
      </w:pPr>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rPr>
          <w:color w:val="004785"/>
        </w:rPr>
        <w:t>1.2 Simulation-Based Education and Non-Technical Skills</w:t>
      </w:r>
    </w:p>
    <w:p>
      <w:pPr>
        <w:jc w:val="both"/>
      </w:pPr>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pPr>
        <w:jc w:val="both"/>
      </w:pPr>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 In urology specifically, Pears et al. pioneered ‘bingo’-style cue identification techniques for enhancing NTS in urology trainees [37], evaluated a virtual reality-based NTS training application demonstrating usability and impact [38], and conducted a double-blinded study benchmarking ChatGPT-4 against consultant interaction for NTS feedback in simulated scenarios, in which the AI demonstrated significant strengths in knowledge reinforcement, evidence-based feedback, empathy, and tailoring explanations to complexity [36].</w:t>
      </w:r>
    </w:p>
    <w:p>
      <w:pPr>
        <w:jc w:val="both"/>
      </w:pPr>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rPr>
          <w:color w:val="004785"/>
        </w:rPr>
        <w:t>1.3 Rationale and Objectives</w:t>
      </w:r>
    </w:p>
    <w:p>
      <w:pPr>
        <w:jc w:val="both"/>
      </w:pPr>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pPr>
        <w:jc w:val="both"/>
      </w:pPr>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pPr>
        <w:jc w:val="both"/>
      </w:pPr>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pPr>
        <w:jc w:val="both"/>
      </w:pPr>
      <w:r>
        <w:t>The specific objectives of this study are:</w:t>
      </w:r>
    </w:p>
    <w:p>
      <w:pPr>
        <w:pStyle w:val="ListNumber"/>
        <w:jc w:val="both"/>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jc w:val="both"/>
      </w:pPr>
      <w:r>
        <w:t>To identify the dominant research themes, intellectual clusters, and emergent topics through keyword co-occurrence analysis and Callon’s strategic thematic diagram.</w:t>
      </w:r>
    </w:p>
    <w:p>
      <w:pPr>
        <w:pStyle w:val="ListNumber"/>
        <w:jc w:val="both"/>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jc w:val="both"/>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rPr>
          <w:color w:val="003366"/>
        </w:rPr>
        <w:t>2. Methods</w:t>
      </w:r>
    </w:p>
    <w:p>
      <w:pPr>
        <w:pStyle w:val="Heading2"/>
      </w:pPr>
      <w:r>
        <w:rPr>
          <w:color w:val="004785"/>
        </w:rPr>
        <w:t>2.1 Study Design</w:t>
      </w:r>
    </w:p>
    <w:p>
      <w:pPr>
        <w:jc w:val="both"/>
      </w:pPr>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pPr>
        <w:jc w:val="both"/>
      </w:pPr>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rPr>
          <w:color w:val="004785"/>
        </w:rPr>
        <w:t>2.2 Data Sources and Search Strategy</w:t>
      </w:r>
    </w:p>
    <w:p>
      <w:pPr>
        <w:jc w:val="both"/>
      </w:pPr>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pPr>
        <w:jc w:val="both"/>
      </w:pPr>
      <w:r>
        <w:t>A three-tier search strategy was employed to capture the breadth of the literature while permitting analysis at increasing specificity:</w:t>
      </w:r>
    </w:p>
    <w:p>
      <w:pPr>
        <w:pStyle w:val="ListBullet"/>
        <w:jc w:val="both"/>
      </w:pPr>
      <w:r>
        <w:t>Tier 1 (broadest): Large language model (LLM) and generative AI terms combined with healthcare and medical terms.</w:t>
      </w:r>
    </w:p>
    <w:p>
      <w:pPr>
        <w:pStyle w:val="ListBullet"/>
        <w:jc w:val="both"/>
      </w:pPr>
      <w:r>
        <w:t>Tier 2 (intermediate): Tier 1 terms combined with simulation-specific terminology (e.g., simulation, virtual patient, debriefing, OSCE).</w:t>
      </w:r>
    </w:p>
    <w:p>
      <w:pPr>
        <w:pStyle w:val="ListBullet"/>
        <w:jc w:val="both"/>
      </w:pPr>
      <w:r>
        <w:t>Tier 3 (focused): Tier 2 terms combined with non-technical skills (NTS) terminology (e.g., communication, teamwork, leadership, decision-making, situational awareness, crisis resource management).</w:t>
      </w:r>
    </w:p>
    <w:p>
      <w:pPr>
        <w:jc w:val="both"/>
      </w:pPr>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rPr>
          <w:color w:val="004785"/>
        </w:rPr>
        <w:t>2.3 Data Processing</w:t>
      </w:r>
    </w:p>
    <w:p>
      <w:pPr>
        <w:jc w:val="both"/>
      </w:pPr>
      <w:r>
        <w:t>Records from the seven databases were normalised to a common schema encompassing title, authors, year, DOI, abstract, journal/source, keywords, citation count, document type, and open-access status. Source-specific identifiers were retained for provenance tracking.</w:t>
      </w:r>
    </w:p>
    <w:p>
      <w:pPr>
        <w:jc w:val="both"/>
      </w:pPr>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pPr>
        <w:jc w:val="both"/>
      </w:pPr>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rPr>
          <w:color w:val="004785"/>
        </w:rPr>
        <w:t>2.4 Screening Process</w:t>
      </w:r>
    </w:p>
    <w:p>
      <w:pPr>
        <w:pStyle w:val="Heading3"/>
      </w:pPr>
      <w:r>
        <w:t>2.4.1 Stage 1: Keyword Pre-filter</w:t>
      </w:r>
    </w:p>
    <w:p>
      <w:pPr>
        <w:jc w:val="both"/>
      </w:pPr>
      <w:r>
        <w:t>Automated keyword matching across four categories (LLM, simulation, NTS, and medical terms) provisionally classified each paper as a definite include, definite exclude, or uncertain. Papers were labelled as:</w:t>
      </w:r>
    </w:p>
    <w:p>
      <w:pPr>
        <w:pStyle w:val="ListBullet"/>
        <w:jc w:val="both"/>
      </w:pPr>
      <w:r>
        <w:t>Definite include: at least five cross-category keyword matches, including at least one LLM term;</w:t>
      </w:r>
    </w:p>
    <w:p>
      <w:pPr>
        <w:pStyle w:val="ListBullet"/>
        <w:jc w:val="both"/>
      </w:pPr>
      <w:r>
        <w:t>Definite exclude: zero LLM terms;</w:t>
      </w:r>
    </w:p>
    <w:p>
      <w:pPr>
        <w:pStyle w:val="ListBullet"/>
        <w:jc w:val="both"/>
      </w:pPr>
      <w:r>
        <w:t>Uncertain: all remaining records.</w:t>
      </w:r>
    </w:p>
    <w:p>
      <w:pPr>
        <w:jc w:val="both"/>
      </w:pPr>
      <w:r>
        <w:t>This procedure yielded 3,648 definite includes, 73,990 definite excludes, and 8,997 uncertain cases, based on the 86,635 unique records after deduplication.</w:t>
      </w:r>
    </w:p>
    <w:p>
      <w:pPr>
        <w:pStyle w:val="Heading3"/>
      </w:pPr>
      <w:r>
        <w:t>2.4.2 Stage 2: Conservative Heuristic Screening</w:t>
      </w:r>
    </w:p>
    <w:p>
      <w:pPr>
        <w:jc w:val="both"/>
      </w:pPr>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pPr>
        <w:jc w:val="both"/>
      </w:pPr>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pPr>
        <w:jc w:val="both"/>
      </w:pPr>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pPr>
        <w:jc w:val="both"/>
      </w:pPr>
      <w:r>
        <w:t>Following screening, the results were organised into a corpus structure aligned with the final analytic dataset:</w:t>
      </w:r>
    </w:p>
    <w:p>
      <w:pPr>
        <w:pStyle w:val="ListBullet"/>
        <w:jc w:val="both"/>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jc w:val="both"/>
      </w:pPr>
      <w:r>
        <w:t>Tier-based subsets: Within the core corpus, Tier 2 papers focus on LLMs in healthcare simulation, while Tier 3 papers additionally include an explicit NTS component. These subsets are used for sensitivity analyses where relevant.</w:t>
      </w:r>
    </w:p>
    <w:p>
      <w:pPr>
        <w:jc w:val="both"/>
      </w:pPr>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rPr>
          <w:color w:val="004785"/>
        </w:rPr>
        <w:t>2.5 Inclusion and Exclusion Criteria</w:t>
      </w:r>
    </w:p>
    <w:p>
      <w:pPr>
        <w:jc w:val="both"/>
      </w:pPr>
      <w:r>
        <w:t>Papers were included if they met all of the following criteria:</w:t>
      </w:r>
    </w:p>
    <w:p>
      <w:pPr>
        <w:jc w:val="both"/>
      </w:pPr>
      <w:r>
        <w:t>a) addressed LLMs, generative AI, or a named system (e.g., ChatGPT, GPT‑4, Claude, Gemini, other proprietary or open-source LLMs);</w:t>
      </w:r>
    </w:p>
    <w:p>
      <w:pPr>
        <w:jc w:val="both"/>
      </w:pPr>
      <w:r>
        <w:t>b) were situated within a healthcare or clinical context (including medical, nursing, allied health, dental, and related domains); and</w:t>
      </w:r>
    </w:p>
    <w:p>
      <w:pPr>
        <w:jc w:val="both"/>
      </w:pPr>
      <w:r>
        <w:t>c) were published between January 2020 and March 2026 in English.</w:t>
      </w:r>
    </w:p>
    <w:p>
      <w:pPr>
        <w:jc w:val="both"/>
      </w:pPr>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pPr>
        <w:jc w:val="both"/>
      </w:pPr>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rPr>
          <w:color w:val="004785"/>
        </w:rPr>
        <w:t>2.6 Bibliometric Analysis</w:t>
      </w:r>
    </w:p>
    <w:p>
      <w:pPr>
        <w:jc w:val="both"/>
      </w:pPr>
      <w:r>
        <w:t>All analyses were performed in Python using reproducible scripts. Unless otherwise indicated, all quantitative results in the Results section refer to the 3,112 papers in the core corpus, for which citation data were available for 100.0% of records.</w:t>
      </w:r>
    </w:p>
    <w:p>
      <w:pPr>
        <w:jc w:val="both"/>
      </w:pPr>
      <w:r>
        <w:t>Performance analysis included:</w:t>
      </w:r>
    </w:p>
    <w:p>
      <w:pPr>
        <w:pStyle w:val="ListBullet"/>
        <w:jc w:val="both"/>
      </w:pPr>
      <w:r>
        <w:t>annual publication trends (2020–2026) with compound annual growth rate (CAGR) computed from the yearly counts (54, 56, 88, 367, 767, 1,415, 365; total 3,112 papers; overall CAGR 37.5%);</w:t>
      </w:r>
    </w:p>
    <w:p>
      <w:pPr>
        <w:pStyle w:val="ListBullet"/>
        <w:jc w:val="both"/>
      </w:pPr>
      <w:r>
        <w:t>citation metrics computed on the full core corpus, including total citations (46,823), mean citations (15.05), median citations (1), maximum citations (1,150), and distribution of uncited papers (1,267, 40.7%);</w:t>
      </w:r>
    </w:p>
    <w:p>
      <w:pPr>
        <w:pStyle w:val="ListBullet"/>
        <w:jc w:val="both"/>
      </w:pPr>
      <w:r>
        <w:t>h‑index (92), g‑index (166), and i10‑index (772) for the corpus;</w:t>
      </w:r>
    </w:p>
    <w:p>
      <w:pPr>
        <w:pStyle w:val="ListBullet"/>
        <w:jc w:val="both"/>
      </w:pPr>
      <w:r>
        <w:t>author productivity and collaboration patterns, including total unique authors (12,937), collaboration index (mean authors per paper: 5.51), and fit to Lotka’s law (Lotka exponent β = 2.559, R² = 0.941);</w:t>
      </w:r>
    </w:p>
    <w:p>
      <w:pPr>
        <w:pStyle w:val="ListBullet"/>
        <w:jc w:val="both"/>
      </w:pPr>
      <w:r>
        <w:t>journal and source concentration, including total unique journals/sources (1,343), papers with journal data (2,407), and Bradford’s law zones (Zone 1: 63 journals, 804 papers; Zone 2: 478 journals, 801 papers; Zone 3: 802 journals, 802 papers).</w:t>
      </w:r>
    </w:p>
    <w:p>
      <w:pPr>
        <w:jc w:val="both"/>
      </w:pPr>
      <w:r>
        <w:t>Science mapping involved:</w:t>
      </w:r>
    </w:p>
    <w:p>
      <w:pPr>
        <w:pStyle w:val="ListBullet"/>
        <w:jc w:val="both"/>
      </w:pPr>
      <w:r>
        <w:t>construction of keyword co-occurrence networks, filtered to retain pairs co-occurring in at least two papers and individual keywords appearing in at least three papers;</w:t>
      </w:r>
    </w:p>
    <w:p>
      <w:pPr>
        <w:pStyle w:val="ListBullet"/>
        <w:jc w:val="both"/>
      </w:pPr>
      <w:r>
        <w:t>community detection using the Louvain algorithm [27];</w:t>
      </w:r>
    </w:p>
    <w:p>
      <w:pPr>
        <w:pStyle w:val="ListBullet"/>
        <w:jc w:val="both"/>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pPr>
        <w:jc w:val="both"/>
      </w:pPr>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jc w:val="both"/>
      </w:pPr>
      <w:r>
        <w:t>1,730 papers (55.6%) were classified into at least one NTS domain;</w:t>
      </w:r>
    </w:p>
    <w:p>
      <w:pPr>
        <w:pStyle w:val="ListBullet"/>
        <w:jc w:val="both"/>
      </w:pPr>
      <w:r>
        <w:t>563 papers (18.1%) were mapped to multiple domains;</w:t>
      </w:r>
    </w:p>
    <w:p>
      <w:pPr>
        <w:pStyle w:val="ListBullet"/>
        <w:jc w:val="both"/>
      </w:pPr>
      <w:r>
        <w:t>1,382 papers (44.4%) had no NTS domain assignment under the applied patterns.</w:t>
      </w:r>
    </w:p>
    <w:p>
      <w:pPr>
        <w:jc w:val="both"/>
      </w:pPr>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pPr>
        <w:jc w:val="both"/>
      </w:pPr>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rPr>
          <w:color w:val="004785"/>
        </w:rPr>
        <w:t>2.7 Open-Access Data Philosophy</w:t>
      </w:r>
    </w:p>
    <w:p>
      <w:pPr>
        <w:jc w:val="both"/>
      </w:pPr>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pPr>
        <w:jc w:val="both"/>
      </w:pPr>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rPr>
          <w:color w:val="003366"/>
        </w:rPr>
        <w:t>3. Results</w:t>
      </w:r>
    </w:p>
    <w:p>
      <w:pPr>
        <w:pStyle w:val="Heading2"/>
      </w:pPr>
      <w:r>
        <w:rPr>
          <w:color w:val="004785"/>
        </w:rPr>
        <w:t>3.1 Search Results and Study Selection</w:t>
      </w:r>
    </w:p>
    <w:p>
      <w:pPr>
        <w:jc w:val="both"/>
      </w:pPr>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pPr>
        <w:jc w:val="both"/>
      </w:pPr>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rPr>
          <w:color w:val="004785"/>
        </w:rPr>
        <w:t>3.2 Publication Trends</w:t>
      </w:r>
    </w:p>
    <w:p>
      <w:pPr>
        <w:jc w:val="both"/>
      </w:pPr>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pPr>
        <w:jc w:val="both"/>
      </w:pPr>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pPr>
        <w:jc w:val="both"/>
      </w:pPr>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rPr>
          <w:color w:val="004785"/>
        </w:rPr>
        <w:t>3.3 Citation Analysis</w:t>
      </w:r>
    </w:p>
    <w:p>
      <w:pPr>
        <w:jc w:val="both"/>
      </w:pPr>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pPr>
        <w:jc w:val="both"/>
      </w:pPr>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rPr>
          <w:color w:val="004785"/>
        </w:rPr>
        <w:t>3.4 Author Analysis</w:t>
      </w:r>
    </w:p>
    <w:p>
      <w:pPr>
        <w:jc w:val="both"/>
      </w:pPr>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pPr>
        <w:jc w:val="both"/>
      </w:pPr>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rPr>
          <w:color w:val="004785"/>
        </w:rPr>
        <w:t>3.5 Journal Distribution</w:t>
      </w:r>
    </w:p>
    <w:p>
      <w:pPr>
        <w:jc w:val="both"/>
      </w:pPr>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pPr>
        <w:jc w:val="both"/>
      </w:pPr>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rPr>
          <w:color w:val="004785"/>
        </w:rPr>
        <w:t>3.6 Geographic Distribution</w:t>
      </w:r>
    </w:p>
    <w:p>
      <w:pPr>
        <w:jc w:val="both"/>
      </w:pPr>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rPr>
          <w:color w:val="004785"/>
        </w:rPr>
        <w:t>3.7 Thematic Mapping</w:t>
      </w:r>
    </w:p>
    <w:p>
      <w:pPr>
        <w:jc w:val="both"/>
      </w:pPr>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pPr>
        <w:jc w:val="both"/>
      </w:pPr>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pPr>
        <w:jc w:val="both"/>
      </w:pPr>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pPr>
        <w:jc w:val="both"/>
      </w:pPr>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rPr>
          <w:color w:val="004785"/>
        </w:rPr>
        <w:t>3.8 Non-Technical Skills Domains</w:t>
      </w:r>
    </w:p>
    <w:p>
      <w:pPr>
        <w:jc w:val="both"/>
      </w:pPr>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pPr>
        <w:jc w:val="both"/>
      </w:pPr>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pPr>
        <w:jc w:val="both"/>
      </w:pPr>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rPr>
          <w:color w:val="004785"/>
        </w:rPr>
        <w:t>3.9 LLM Model Landscape</w:t>
      </w:r>
    </w:p>
    <w:p>
      <w:pPr>
        <w:jc w:val="both"/>
      </w:pPr>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pPr>
        <w:jc w:val="both"/>
      </w:pPr>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pPr>
        <w:jc w:val="both"/>
      </w:pPr>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rPr>
          <w:color w:val="004785"/>
        </w:rPr>
        <w:t>3.10 Simulation Modalities</w:t>
      </w:r>
    </w:p>
    <w:p>
      <w:pPr>
        <w:jc w:val="both"/>
      </w:pPr>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pPr>
        <w:jc w:val="both"/>
      </w:pPr>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rPr>
          <w:color w:val="004785"/>
        </w:rPr>
        <w:t>3.11 Research Methods</w:t>
      </w:r>
    </w:p>
    <w:p>
      <w:pPr>
        <w:jc w:val="both"/>
      </w:pPr>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pPr>
        <w:jc w:val="both"/>
      </w:pPr>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rPr>
          <w:color w:val="004785"/>
        </w:rPr>
        <w:t>3.12 Urology Sub-Analysis</w:t>
      </w:r>
    </w:p>
    <w:p>
      <w:pPr>
        <w:jc w:val="both"/>
      </w:pPr>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pPr>
        <w:jc w:val="both"/>
      </w:pPr>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jc w:val="both"/>
      </w:pPr>
    </w:p>
    <w:p>
      <w:pPr>
        <w:pStyle w:val="Heading3"/>
      </w:pPr>
      <w:r>
        <w:t>Table 1: Key Metrics Summary</w:t>
      </w:r>
    </w:p>
    <w:tbl>
      <w:tblPr>
        <w:tblStyle w:val="TableGrid"/>
        <w:tblW w:type="auto" w:w="0"/>
        <w:jc w:val="center"/>
        <w:tblLook w:firstColumn="1" w:firstRow="1" w:lastColumn="0" w:lastRow="0" w:noHBand="0" w:noVBand="1" w:val="04A0"/>
      </w:tblPr>
      <w:tblGrid>
        <w:gridCol w:w="4320"/>
        <w:gridCol w:w="4320"/>
      </w:tblGrid>
      <w:tr>
        <w:tc>
          <w:tcPr>
            <w:tcW w:type="dxa" w:w="4320"/>
            <w:shd w:fill="003366"/>
          </w:tcPr>
          <w:p>
            <w:r>
              <w:rPr>
                <w:rFonts w:ascii="Calibri" w:hAnsi="Calibri"/>
                <w:b/>
                <w:color w:val="FFFFFF"/>
                <w:sz w:val="20"/>
              </w:rPr>
              <w:t>Metric</w:t>
            </w:r>
          </w:p>
        </w:tc>
        <w:tc>
          <w:tcPr>
            <w:tcW w:type="dxa" w:w="4320"/>
            <w:shd w:fill="003366"/>
          </w:tcPr>
          <w:p>
            <w:r>
              <w:rPr>
                <w:rFonts w:ascii="Calibri" w:hAnsi="Calibri"/>
                <w:b/>
                <w:color w:val="FFFFFF"/>
                <w:sz w:val="20"/>
              </w:rPr>
              <w:t>Value</w:t>
            </w:r>
          </w:p>
        </w:tc>
      </w:tr>
      <w:tr>
        <w:tc>
          <w:tcPr>
            <w:tcW w:type="dxa" w:w="4320"/>
          </w:tcPr>
          <w:p>
            <w:r>
              <w:rPr>
                <w:rFonts w:ascii="Calibri" w:hAnsi="Calibri"/>
                <w:sz w:val="20"/>
              </w:rPr>
              <w:t>Core corpus</w:t>
            </w:r>
          </w:p>
        </w:tc>
        <w:tc>
          <w:tcPr>
            <w:tcW w:type="dxa" w:w="4320"/>
          </w:tcPr>
          <w:p>
            <w:r>
              <w:rPr>
                <w:rFonts w:ascii="Calibri" w:hAnsi="Calibri"/>
                <w:sz w:val="20"/>
              </w:rPr>
              <w:t>3,112</w:t>
            </w:r>
          </w:p>
        </w:tc>
      </w:tr>
      <w:tr>
        <w:tc>
          <w:tcPr>
            <w:tcW w:type="dxa" w:w="4320"/>
          </w:tcPr>
          <w:p>
            <w:r>
              <w:rPr>
                <w:rFonts w:ascii="Calibri" w:hAnsi="Calibri"/>
                <w:sz w:val="20"/>
              </w:rPr>
              <w:t>CAGR</w:t>
            </w:r>
          </w:p>
        </w:tc>
        <w:tc>
          <w:tcPr>
            <w:tcW w:type="dxa" w:w="4320"/>
          </w:tcPr>
          <w:p>
            <w:r>
              <w:rPr>
                <w:rFonts w:ascii="Calibri" w:hAnsi="Calibri"/>
                <w:sz w:val="20"/>
              </w:rPr>
              <w:t>37.5%</w:t>
            </w:r>
          </w:p>
        </w:tc>
      </w:tr>
      <w:tr>
        <w:tc>
          <w:tcPr>
            <w:tcW w:type="dxa" w:w="4320"/>
          </w:tcPr>
          <w:p>
            <w:r>
              <w:rPr>
                <w:rFonts w:ascii="Calibri" w:hAnsi="Calibri"/>
                <w:sz w:val="20"/>
              </w:rPr>
              <w:t>Post-ChatGPT</w:t>
            </w:r>
          </w:p>
        </w:tc>
        <w:tc>
          <w:tcPr>
            <w:tcW w:type="dxa" w:w="4320"/>
          </w:tcPr>
          <w:p>
            <w:r>
              <w:rPr>
                <w:rFonts w:ascii="Calibri" w:hAnsi="Calibri"/>
                <w:sz w:val="20"/>
              </w:rPr>
              <w:t>93.6%</w:t>
            </w:r>
          </w:p>
        </w:tc>
      </w:tr>
      <w:tr>
        <w:tc>
          <w:tcPr>
            <w:tcW w:type="dxa" w:w="4320"/>
          </w:tcPr>
          <w:p>
            <w:r>
              <w:rPr>
                <w:rFonts w:ascii="Calibri" w:hAnsi="Calibri"/>
                <w:sz w:val="20"/>
              </w:rPr>
              <w:t>Peak year</w:t>
            </w:r>
          </w:p>
        </w:tc>
        <w:tc>
          <w:tcPr>
            <w:tcW w:type="dxa" w:w="4320"/>
          </w:tcPr>
          <w:p>
            <w:r>
              <w:rPr>
                <w:rFonts w:ascii="Calibri" w:hAnsi="Calibri"/>
                <w:sz w:val="20"/>
              </w:rPr>
              <w:t>2025 (1,415)</w:t>
            </w:r>
          </w:p>
        </w:tc>
      </w:tr>
      <w:tr>
        <w:tc>
          <w:tcPr>
            <w:tcW w:type="dxa" w:w="4320"/>
          </w:tcPr>
          <w:p>
            <w:r>
              <w:rPr>
                <w:rFonts w:ascii="Calibri" w:hAnsi="Calibri"/>
                <w:sz w:val="20"/>
              </w:rPr>
              <w:t>h-index / g-index</w:t>
            </w:r>
          </w:p>
        </w:tc>
        <w:tc>
          <w:tcPr>
            <w:tcW w:type="dxa" w:w="4320"/>
          </w:tcPr>
          <w:p>
            <w:r>
              <w:rPr>
                <w:rFonts w:ascii="Calibri" w:hAnsi="Calibri"/>
                <w:sz w:val="20"/>
              </w:rPr>
              <w:t>92 / 166</w:t>
            </w:r>
          </w:p>
        </w:tc>
      </w:tr>
      <w:tr>
        <w:tc>
          <w:tcPr>
            <w:tcW w:type="dxa" w:w="4320"/>
          </w:tcPr>
          <w:p>
            <w:r>
              <w:rPr>
                <w:rFonts w:ascii="Calibri" w:hAnsi="Calibri"/>
                <w:sz w:val="20"/>
              </w:rPr>
              <w:t>Total citations</w:t>
            </w:r>
          </w:p>
        </w:tc>
        <w:tc>
          <w:tcPr>
            <w:tcW w:type="dxa" w:w="4320"/>
          </w:tcPr>
          <w:p>
            <w:r>
              <w:rPr>
                <w:rFonts w:ascii="Calibri" w:hAnsi="Calibri"/>
                <w:sz w:val="20"/>
              </w:rPr>
              <w:t>46,823</w:t>
            </w:r>
          </w:p>
        </w:tc>
      </w:tr>
      <w:tr>
        <w:tc>
          <w:tcPr>
            <w:tcW w:type="dxa" w:w="4320"/>
          </w:tcPr>
          <w:p>
            <w:r>
              <w:rPr>
                <w:rFonts w:ascii="Calibri" w:hAnsi="Calibri"/>
                <w:sz w:val="20"/>
              </w:rPr>
              <w:t>Mean citations</w:t>
            </w:r>
          </w:p>
        </w:tc>
        <w:tc>
          <w:tcPr>
            <w:tcW w:type="dxa" w:w="4320"/>
          </w:tcPr>
          <w:p>
            <w:r>
              <w:rPr>
                <w:rFonts w:ascii="Calibri" w:hAnsi="Calibri"/>
                <w:sz w:val="20"/>
              </w:rPr>
              <w:t>15.05</w:t>
            </w:r>
          </w:p>
        </w:tc>
      </w:tr>
      <w:tr>
        <w:tc>
          <w:tcPr>
            <w:tcW w:type="dxa" w:w="4320"/>
          </w:tcPr>
          <w:p>
            <w:r>
              <w:rPr>
                <w:rFonts w:ascii="Calibri" w:hAnsi="Calibri"/>
                <w:sz w:val="20"/>
              </w:rPr>
              <w:t>Authors</w:t>
            </w:r>
          </w:p>
        </w:tc>
        <w:tc>
          <w:tcPr>
            <w:tcW w:type="dxa" w:w="4320"/>
          </w:tcPr>
          <w:p>
            <w:r>
              <w:rPr>
                <w:rFonts w:ascii="Calibri" w:hAnsi="Calibri"/>
                <w:sz w:val="20"/>
              </w:rPr>
              <w:t>12,937</w:t>
            </w:r>
          </w:p>
        </w:tc>
      </w:tr>
      <w:tr>
        <w:tc>
          <w:tcPr>
            <w:tcW w:type="dxa" w:w="4320"/>
          </w:tcPr>
          <w:p>
            <w:r>
              <w:rPr>
                <w:rFonts w:ascii="Calibri" w:hAnsi="Calibri"/>
                <w:sz w:val="20"/>
              </w:rPr>
              <w:t>Journals</w:t>
            </w:r>
          </w:p>
        </w:tc>
        <w:tc>
          <w:tcPr>
            <w:tcW w:type="dxa" w:w="4320"/>
          </w:tcPr>
          <w:p>
            <w:r>
              <w:rPr>
                <w:rFonts w:ascii="Calibri" w:hAnsi="Calibri"/>
                <w:sz w:val="20"/>
              </w:rPr>
              <w:t>1,343</w:t>
            </w:r>
          </w:p>
        </w:tc>
      </w:tr>
      <w:tr>
        <w:tc>
          <w:tcPr>
            <w:tcW w:type="dxa" w:w="4320"/>
          </w:tcPr>
          <w:p>
            <w:r>
              <w:rPr>
                <w:rFonts w:ascii="Calibri" w:hAnsi="Calibri"/>
                <w:sz w:val="20"/>
              </w:rPr>
              <w:t>Countries</w:t>
            </w:r>
          </w:p>
        </w:tc>
        <w:tc>
          <w:tcPr>
            <w:tcW w:type="dxa" w:w="4320"/>
          </w:tcPr>
          <w:p>
            <w:r>
              <w:rPr>
                <w:rFonts w:ascii="Calibri" w:hAnsi="Calibri"/>
                <w:sz w:val="20"/>
              </w:rPr>
              <w:t>86</w:t>
            </w:r>
          </w:p>
        </w:tc>
      </w:tr>
      <w:tr>
        <w:tc>
          <w:tcPr>
            <w:tcW w:type="dxa" w:w="4320"/>
          </w:tcPr>
          <w:p>
            <w:r>
              <w:rPr>
                <w:rFonts w:ascii="Calibri" w:hAnsi="Calibri"/>
                <w:sz w:val="20"/>
              </w:rPr>
              <w:t>Lotka β</w:t>
            </w:r>
          </w:p>
        </w:tc>
        <w:tc>
          <w:tcPr>
            <w:tcW w:type="dxa" w:w="4320"/>
          </w:tcPr>
          <w:p>
            <w:r>
              <w:rPr>
                <w:rFonts w:ascii="Calibri" w:hAnsi="Calibri"/>
                <w:sz w:val="20"/>
              </w:rPr>
              <w:t>2.559 (R²=0.941)</w:t>
            </w:r>
          </w:p>
        </w:tc>
      </w:tr>
      <w:tr>
        <w:tc>
          <w:tcPr>
            <w:tcW w:type="dxa" w:w="4320"/>
          </w:tcPr>
          <w:p>
            <w:r>
              <w:rPr>
                <w:rFonts w:ascii="Calibri" w:hAnsi="Calibri"/>
                <w:sz w:val="20"/>
              </w:rPr>
              <w:t>RCTs</w:t>
            </w:r>
          </w:p>
        </w:tc>
        <w:tc>
          <w:tcPr>
            <w:tcW w:type="dxa" w:w="4320"/>
          </w:tcPr>
          <w:p>
            <w:r>
              <w:rPr>
                <w:rFonts w:ascii="Calibri" w:hAnsi="Calibri"/>
                <w:sz w:val="20"/>
              </w:rPr>
              <w:t>35 (1.1%)</w:t>
            </w:r>
          </w:p>
        </w:tc>
      </w:tr>
      <w:tr>
        <w:tc>
          <w:tcPr>
            <w:tcW w:type="dxa" w:w="4320"/>
          </w:tcPr>
          <w:p>
            <w:r>
              <w:rPr>
                <w:rFonts w:ascii="Calibri" w:hAnsi="Calibri"/>
                <w:sz w:val="20"/>
              </w:rPr>
              <w:t>Urology</w:t>
            </w:r>
          </w:p>
        </w:tc>
        <w:tc>
          <w:tcPr>
            <w:tcW w:type="dxa" w:w="4320"/>
          </w:tcPr>
          <w:p>
            <w:r>
              <w:rPr>
                <w:rFonts w:ascii="Calibri" w:hAnsi="Calibri"/>
                <w:sz w:val="20"/>
              </w:rPr>
              <w:t>117 (3.8%)</w:t>
            </w:r>
          </w:p>
        </w:tc>
      </w:tr>
    </w:tbl>
    <w:p>
      <w:pPr>
        <w:jc w:val="both"/>
      </w:pPr>
    </w:p>
    <w:p>
      <w:pPr>
        <w:jc w:val="center"/>
      </w:pPr>
      <w:r>
        <w:rPr>
          <w:b/>
          <w:color w:val="003366"/>
          <w:sz w:val="22"/>
        </w:rPr>
        <w:t>Figure 1: Publication Trends (2020–2026)</w:t>
      </w:r>
    </w:p>
    <w:p>
      <w:pPr>
        <w:jc w:val="center"/>
      </w:pPr>
      <w:r>
        <w:drawing>
          <wp:inline xmlns:a="http://schemas.openxmlformats.org/drawingml/2006/main" xmlns:pic="http://schemas.openxmlformats.org/drawingml/2006/picture">
            <wp:extent cx="5029200" cy="2989693"/>
            <wp:docPr id="1" name="Picture 1"/>
            <wp:cNvGraphicFramePr>
              <a:graphicFrameLocks noChangeAspect="1"/>
            </wp:cNvGraphicFramePr>
            <a:graphic>
              <a:graphicData uri="http://schemas.openxmlformats.org/drawingml/2006/picture">
                <pic:pic>
                  <pic:nvPicPr>
                    <pic:cNvPr id="0" name="publication_trends.png"/>
                    <pic:cNvPicPr/>
                  </pic:nvPicPr>
                  <pic:blipFill>
                    <a:blip r:embed="rId9"/>
                    <a:stretch>
                      <a:fillRect/>
                    </a:stretch>
                  </pic:blipFill>
                  <pic:spPr>
                    <a:xfrm>
                      <a:off x="0" y="0"/>
                      <a:ext cx="5029200" cy="2989693"/>
                    </a:xfrm>
                    <a:prstGeom prst="rect"/>
                  </pic:spPr>
                </pic:pic>
              </a:graphicData>
            </a:graphic>
          </wp:inline>
        </w:drawing>
      </w:r>
    </w:p>
    <w:p>
      <w:pPr>
        <w:jc w:val="both"/>
      </w:pPr>
      <w:r>
        <w:rPr>
          <w:i/>
          <w:color w:val="505050"/>
          <w:sz w:val="18"/>
        </w:rPr>
        <w:t>Annual counts showing ChatGPT inflection point. Peak: 1,415 in 2025. CAGR: 37.5%.</w:t>
      </w:r>
    </w:p>
    <w:p>
      <w:pPr>
        <w:jc w:val="both"/>
      </w:pPr>
    </w:p>
    <w:p>
      <w:pPr>
        <w:pStyle w:val="Heading3"/>
      </w:pPr>
      <w:r>
        <w:t>Table 2: NTS Domain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rFonts w:ascii="Calibri" w:hAnsi="Calibri"/>
                <w:b/>
                <w:color w:val="FFFFFF"/>
                <w:sz w:val="20"/>
              </w:rPr>
              <w:t>Domain</w:t>
            </w:r>
          </w:p>
        </w:tc>
        <w:tc>
          <w:tcPr>
            <w:tcW w:type="dxa" w:w="2880"/>
            <w:shd w:fill="003366"/>
          </w:tcPr>
          <w:p>
            <w:r>
              <w:rPr>
                <w:rFonts w:ascii="Calibri" w:hAnsi="Calibri"/>
                <w:b/>
                <w:color w:val="FFFFFF"/>
                <w:sz w:val="20"/>
              </w:rPr>
              <w:t>Papers</w:t>
            </w:r>
          </w:p>
        </w:tc>
        <w:tc>
          <w:tcPr>
            <w:tcW w:type="dxa" w:w="2880"/>
            <w:shd w:fill="003366"/>
          </w:tcPr>
          <w:p>
            <w:r>
              <w:rPr>
                <w:rFonts w:ascii="Calibri" w:hAnsi="Calibri"/>
                <w:b/>
                <w:color w:val="FFFFFF"/>
                <w:sz w:val="20"/>
              </w:rPr>
              <w:t>%</w:t>
            </w:r>
          </w:p>
        </w:tc>
      </w:tr>
      <w:tr>
        <w:tc>
          <w:tcPr>
            <w:tcW w:type="dxa" w:w="2880"/>
          </w:tcPr>
          <w:p>
            <w:r>
              <w:rPr>
                <w:rFonts w:ascii="Calibri" w:hAnsi="Calibri"/>
                <w:sz w:val="20"/>
              </w:rPr>
              <w:t>Decision-making</w:t>
            </w:r>
          </w:p>
        </w:tc>
        <w:tc>
          <w:tcPr>
            <w:tcW w:type="dxa" w:w="2880"/>
          </w:tcPr>
          <w:p>
            <w:r>
              <w:rPr>
                <w:rFonts w:ascii="Calibri" w:hAnsi="Calibri"/>
                <w:sz w:val="20"/>
              </w:rPr>
              <w:t>889</w:t>
            </w:r>
          </w:p>
        </w:tc>
        <w:tc>
          <w:tcPr>
            <w:tcW w:type="dxa" w:w="2880"/>
          </w:tcPr>
          <w:p>
            <w:r>
              <w:rPr>
                <w:rFonts w:ascii="Calibri" w:hAnsi="Calibri"/>
                <w:sz w:val="20"/>
              </w:rPr>
              <w:t>29.6%</w:t>
            </w:r>
          </w:p>
        </w:tc>
      </w:tr>
      <w:tr>
        <w:tc>
          <w:tcPr>
            <w:tcW w:type="dxa" w:w="2880"/>
          </w:tcPr>
          <w:p>
            <w:r>
              <w:rPr>
                <w:rFonts w:ascii="Calibri" w:hAnsi="Calibri"/>
                <w:sz w:val="20"/>
              </w:rPr>
              <w:t>Communication</w:t>
            </w:r>
          </w:p>
        </w:tc>
        <w:tc>
          <w:tcPr>
            <w:tcW w:type="dxa" w:w="2880"/>
          </w:tcPr>
          <w:p>
            <w:r>
              <w:rPr>
                <w:rFonts w:ascii="Calibri" w:hAnsi="Calibri"/>
                <w:sz w:val="20"/>
              </w:rPr>
              <w:t>612</w:t>
            </w:r>
          </w:p>
        </w:tc>
        <w:tc>
          <w:tcPr>
            <w:tcW w:type="dxa" w:w="2880"/>
          </w:tcPr>
          <w:p>
            <w:r>
              <w:rPr>
                <w:rFonts w:ascii="Calibri" w:hAnsi="Calibri"/>
                <w:sz w:val="20"/>
              </w:rPr>
              <w:t>20.4%</w:t>
            </w:r>
          </w:p>
        </w:tc>
      </w:tr>
      <w:tr>
        <w:tc>
          <w:tcPr>
            <w:tcW w:type="dxa" w:w="2880"/>
          </w:tcPr>
          <w:p>
            <w:r>
              <w:rPr>
                <w:rFonts w:ascii="Calibri" w:hAnsi="Calibri"/>
                <w:sz w:val="20"/>
              </w:rPr>
              <w:t>Teamwork</w:t>
            </w:r>
          </w:p>
        </w:tc>
        <w:tc>
          <w:tcPr>
            <w:tcW w:type="dxa" w:w="2880"/>
          </w:tcPr>
          <w:p>
            <w:r>
              <w:rPr>
                <w:rFonts w:ascii="Calibri" w:hAnsi="Calibri"/>
                <w:sz w:val="20"/>
              </w:rPr>
              <w:t>374</w:t>
            </w:r>
          </w:p>
        </w:tc>
        <w:tc>
          <w:tcPr>
            <w:tcW w:type="dxa" w:w="2880"/>
          </w:tcPr>
          <w:p>
            <w:r>
              <w:rPr>
                <w:rFonts w:ascii="Calibri" w:hAnsi="Calibri"/>
                <w:sz w:val="20"/>
              </w:rPr>
              <w:t>12.5%</w:t>
            </w:r>
          </w:p>
        </w:tc>
      </w:tr>
      <w:tr>
        <w:tc>
          <w:tcPr>
            <w:tcW w:type="dxa" w:w="2880"/>
          </w:tcPr>
          <w:p>
            <w:r>
              <w:rPr>
                <w:rFonts w:ascii="Calibri" w:hAnsi="Calibri"/>
                <w:sz w:val="20"/>
              </w:rPr>
              <w:t>Leadership</w:t>
            </w:r>
          </w:p>
        </w:tc>
        <w:tc>
          <w:tcPr>
            <w:tcW w:type="dxa" w:w="2880"/>
          </w:tcPr>
          <w:p>
            <w:r>
              <w:rPr>
                <w:rFonts w:ascii="Calibri" w:hAnsi="Calibri"/>
                <w:sz w:val="20"/>
              </w:rPr>
              <w:t>234</w:t>
            </w:r>
          </w:p>
        </w:tc>
        <w:tc>
          <w:tcPr>
            <w:tcW w:type="dxa" w:w="2880"/>
          </w:tcPr>
          <w:p>
            <w:r>
              <w:rPr>
                <w:rFonts w:ascii="Calibri" w:hAnsi="Calibri"/>
                <w:sz w:val="20"/>
              </w:rPr>
              <w:t>7.8%</w:t>
            </w:r>
          </w:p>
        </w:tc>
      </w:tr>
      <w:tr>
        <w:tc>
          <w:tcPr>
            <w:tcW w:type="dxa" w:w="2880"/>
          </w:tcPr>
          <w:p>
            <w:r>
              <w:rPr>
                <w:rFonts w:ascii="Calibri" w:hAnsi="Calibri"/>
                <w:sz w:val="20"/>
              </w:rPr>
              <w:t>Stress management</w:t>
            </w:r>
          </w:p>
        </w:tc>
        <w:tc>
          <w:tcPr>
            <w:tcW w:type="dxa" w:w="2880"/>
          </w:tcPr>
          <w:p>
            <w:r>
              <w:rPr>
                <w:rFonts w:ascii="Calibri" w:hAnsi="Calibri"/>
                <w:sz w:val="20"/>
              </w:rPr>
              <w:t>147</w:t>
            </w:r>
          </w:p>
        </w:tc>
        <w:tc>
          <w:tcPr>
            <w:tcW w:type="dxa" w:w="2880"/>
          </w:tcPr>
          <w:p>
            <w:r>
              <w:rPr>
                <w:rFonts w:ascii="Calibri" w:hAnsi="Calibri"/>
                <w:sz w:val="20"/>
              </w:rPr>
              <w:t>4.9%</w:t>
            </w:r>
          </w:p>
        </w:tc>
      </w:tr>
      <w:tr>
        <w:tc>
          <w:tcPr>
            <w:tcW w:type="dxa" w:w="2880"/>
          </w:tcPr>
          <w:p>
            <w:r>
              <w:rPr>
                <w:rFonts w:ascii="Calibri" w:hAnsi="Calibri"/>
                <w:sz w:val="20"/>
              </w:rPr>
              <w:t>Professionalism</w:t>
            </w:r>
          </w:p>
        </w:tc>
        <w:tc>
          <w:tcPr>
            <w:tcW w:type="dxa" w:w="2880"/>
          </w:tcPr>
          <w:p>
            <w:r>
              <w:rPr>
                <w:rFonts w:ascii="Calibri" w:hAnsi="Calibri"/>
                <w:sz w:val="20"/>
              </w:rPr>
              <w:t>93</w:t>
            </w:r>
          </w:p>
        </w:tc>
        <w:tc>
          <w:tcPr>
            <w:tcW w:type="dxa" w:w="2880"/>
          </w:tcPr>
          <w:p>
            <w:r>
              <w:rPr>
                <w:rFonts w:ascii="Calibri" w:hAnsi="Calibri"/>
                <w:sz w:val="20"/>
              </w:rPr>
              <w:t>3.1%</w:t>
            </w:r>
          </w:p>
        </w:tc>
      </w:tr>
      <w:tr>
        <w:tc>
          <w:tcPr>
            <w:tcW w:type="dxa" w:w="2880"/>
          </w:tcPr>
          <w:p>
            <w:r>
              <w:rPr>
                <w:rFonts w:ascii="Calibri" w:hAnsi="Calibri"/>
                <w:sz w:val="20"/>
              </w:rPr>
              <w:t>Situational awareness</w:t>
            </w:r>
          </w:p>
        </w:tc>
        <w:tc>
          <w:tcPr>
            <w:tcW w:type="dxa" w:w="2880"/>
          </w:tcPr>
          <w:p>
            <w:r>
              <w:rPr>
                <w:rFonts w:ascii="Calibri" w:hAnsi="Calibri"/>
                <w:sz w:val="20"/>
              </w:rPr>
              <w:t>53</w:t>
            </w:r>
          </w:p>
        </w:tc>
        <w:tc>
          <w:tcPr>
            <w:tcW w:type="dxa" w:w="2880"/>
          </w:tcPr>
          <w:p>
            <w:r>
              <w:rPr>
                <w:rFonts w:ascii="Calibri" w:hAnsi="Calibri"/>
                <w:sz w:val="20"/>
              </w:rPr>
              <w:t>1.8%</w:t>
            </w:r>
          </w:p>
        </w:tc>
      </w:tr>
      <w:tr>
        <w:tc>
          <w:tcPr>
            <w:tcW w:type="dxa" w:w="2880"/>
          </w:tcPr>
          <w:p>
            <w:r>
              <w:rPr>
                <w:rFonts w:ascii="Calibri" w:hAnsi="Calibri"/>
                <w:sz w:val="20"/>
              </w:rPr>
              <w:t>Task management</w:t>
            </w:r>
          </w:p>
        </w:tc>
        <w:tc>
          <w:tcPr>
            <w:tcW w:type="dxa" w:w="2880"/>
          </w:tcPr>
          <w:p>
            <w:r>
              <w:rPr>
                <w:rFonts w:ascii="Calibri" w:hAnsi="Calibri"/>
                <w:sz w:val="20"/>
              </w:rPr>
              <w:t>38</w:t>
            </w:r>
          </w:p>
        </w:tc>
        <w:tc>
          <w:tcPr>
            <w:tcW w:type="dxa" w:w="2880"/>
          </w:tcPr>
          <w:p>
            <w:r>
              <w:rPr>
                <w:rFonts w:ascii="Calibri" w:hAnsi="Calibri"/>
                <w:sz w:val="20"/>
              </w:rPr>
              <w:t>1.3%</w:t>
            </w:r>
          </w:p>
        </w:tc>
      </w:tr>
      <w:tr>
        <w:tc>
          <w:tcPr>
            <w:tcW w:type="dxa" w:w="2880"/>
          </w:tcPr>
          <w:p>
            <w:r>
              <w:rPr>
                <w:rFonts w:ascii="Calibri" w:hAnsi="Calibri"/>
                <w:sz w:val="20"/>
              </w:rPr>
              <w:t>CRM</w:t>
            </w:r>
          </w:p>
        </w:tc>
        <w:tc>
          <w:tcPr>
            <w:tcW w:type="dxa" w:w="2880"/>
          </w:tcPr>
          <w:p>
            <w:r>
              <w:rPr>
                <w:rFonts w:ascii="Calibri" w:hAnsi="Calibri"/>
                <w:sz w:val="20"/>
              </w:rPr>
              <w:t>4</w:t>
            </w:r>
          </w:p>
        </w:tc>
        <w:tc>
          <w:tcPr>
            <w:tcW w:type="dxa" w:w="2880"/>
          </w:tcPr>
          <w:p>
            <w:r>
              <w:rPr>
                <w:rFonts w:ascii="Calibri" w:hAnsi="Calibri"/>
                <w:sz w:val="20"/>
              </w:rPr>
              <w:t>0.1%</w:t>
            </w:r>
          </w:p>
        </w:tc>
      </w:tr>
    </w:tbl>
    <w:p>
      <w:pPr>
        <w:jc w:val="both"/>
      </w:pPr>
    </w:p>
    <w:p>
      <w:pPr>
        <w:jc w:val="center"/>
      </w:pPr>
      <w:r>
        <w:rPr>
          <w:b/>
          <w:color w:val="003366"/>
          <w:sz w:val="22"/>
        </w:rPr>
        <w:t>Figure 2: Non-Technical Skills Domain Frequencies</w:t>
      </w:r>
    </w:p>
    <w:p>
      <w:pPr>
        <w:jc w:val="center"/>
      </w:pPr>
      <w:r>
        <w:drawing>
          <wp:inline xmlns:a="http://schemas.openxmlformats.org/drawingml/2006/main" xmlns:pic="http://schemas.openxmlformats.org/drawingml/2006/picture">
            <wp:extent cx="5029200" cy="2988046"/>
            <wp:docPr id="2" name="Picture 2"/>
            <wp:cNvGraphicFramePr>
              <a:graphicFrameLocks noChangeAspect="1"/>
            </wp:cNvGraphicFramePr>
            <a:graphic>
              <a:graphicData uri="http://schemas.openxmlformats.org/drawingml/2006/picture">
                <pic:pic>
                  <pic:nvPicPr>
                    <pic:cNvPr id="0" name="nts_domain_frequencies.png"/>
                    <pic:cNvPicPr/>
                  </pic:nvPicPr>
                  <pic:blipFill>
                    <a:blip r:embed="rId10"/>
                    <a:stretch>
                      <a:fillRect/>
                    </a:stretch>
                  </pic:blipFill>
                  <pic:spPr>
                    <a:xfrm>
                      <a:off x="0" y="0"/>
                      <a:ext cx="5029200" cy="2988046"/>
                    </a:xfrm>
                    <a:prstGeom prst="rect"/>
                  </pic:spPr>
                </pic:pic>
              </a:graphicData>
            </a:graphic>
          </wp:inline>
        </w:drawing>
      </w:r>
    </w:p>
    <w:p>
      <w:pPr>
        <w:jc w:val="both"/>
      </w:pPr>
      <w:r>
        <w:rPr>
          <w:i/>
          <w:color w:val="505050"/>
          <w:sz w:val="18"/>
        </w:rPr>
        <w:t>Decision-making (889) and Communication (612) dominate. CRM: only 4 papers (222:1 disparity).</w:t>
      </w:r>
    </w:p>
    <w:p>
      <w:pPr>
        <w:jc w:val="both"/>
      </w:pPr>
    </w:p>
    <w:p>
      <w:pPr>
        <w:pStyle w:val="Heading1"/>
      </w:pPr>
      <w:r>
        <w:rPr>
          <w:color w:val="003366"/>
        </w:rPr>
        <w:t>4. Discussion</w:t>
      </w:r>
    </w:p>
    <w:p>
      <w:pPr>
        <w:pStyle w:val="Heading2"/>
      </w:pPr>
      <w:r>
        <w:rPr>
          <w:color w:val="004785"/>
        </w:rPr>
        <w:t>4.1 Principal Findings</w:t>
      </w:r>
    </w:p>
    <w:p>
      <w:pPr>
        <w:jc w:val="both"/>
      </w:pPr>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pPr>
        <w:jc w:val="both"/>
      </w:pPr>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the application of LLMs to NTS training in urology simulation remains in its infancy, with only one published study directly examining this intersection [36], despite the clear potential for LLM augmentation of established formats such as simulation boot camps.</w:t>
      </w:r>
    </w:p>
    <w:p>
      <w:pPr>
        <w:pStyle w:val="Heading2"/>
      </w:pPr>
      <w:r>
        <w:rPr>
          <w:color w:val="004785"/>
        </w:rPr>
        <w:t>4.2 The Non-Technical Skills Gap</w:t>
      </w:r>
    </w:p>
    <w:p>
      <w:pPr>
        <w:jc w:val="both"/>
      </w:pPr>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pPr>
        <w:jc w:val="both"/>
      </w:pPr>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pPr>
        <w:jc w:val="both"/>
      </w:pPr>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rPr>
          <w:color w:val="004785"/>
        </w:rPr>
        <w:t>4.3 The Open-Source Deficit</w:t>
      </w:r>
    </w:p>
    <w:p>
      <w:pPr>
        <w:jc w:val="both"/>
      </w:pPr>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pPr>
        <w:jc w:val="both"/>
      </w:pPr>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pPr>
        <w:jc w:val="both"/>
      </w:pPr>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rPr>
          <w:color w:val="004785"/>
        </w:rPr>
        <w:t>4.4 Urology and Boot Camps: The Untapped Opportunity</w:t>
      </w:r>
    </w:p>
    <w:p>
      <w:pPr>
        <w:jc w:val="both"/>
      </w:pPr>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pPr>
        <w:jc w:val="both"/>
      </w:pPr>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pPr>
        <w:jc w:val="both"/>
      </w:pPr>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pPr>
        <w:jc w:val="both"/>
      </w:pPr>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pPr>
        <w:jc w:val="both"/>
      </w:pPr>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rPr>
          <w:color w:val="004785"/>
        </w:rPr>
        <w:t>4.5 Evidence Quality and Document Composition</w:t>
      </w:r>
    </w:p>
    <w:p>
      <w:pPr>
        <w:jc w:val="both"/>
      </w:pPr>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rPr>
          <w:color w:val="004785"/>
        </w:rPr>
        <w:t>4.6 Implications for Practice</w:t>
      </w:r>
    </w:p>
    <w:p>
      <w:pPr>
        <w:jc w:val="both"/>
      </w:pPr>
      <w:r>
        <w:t>The findings of this analysis carry several implications for educators, researchers, and institutions.</w:t>
      </w:r>
    </w:p>
    <w:p>
      <w:pPr>
        <w:jc w:val="both"/>
      </w:pPr>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pPr>
        <w:jc w:val="both"/>
      </w:pPr>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pPr>
        <w:jc w:val="both"/>
      </w:pPr>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rPr>
          <w:color w:val="004785"/>
        </w:rPr>
        <w:t>4.7 The Open-Access Imperative</w:t>
      </w:r>
    </w:p>
    <w:p>
      <w:pPr>
        <w:jc w:val="both"/>
      </w:pPr>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pPr>
        <w:jc w:val="both"/>
      </w:pPr>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pPr>
        <w:jc w:val="both"/>
      </w:pPr>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rPr>
          <w:color w:val="004785"/>
        </w:rPr>
        <w:t>4.8 Limitations</w:t>
      </w:r>
    </w:p>
    <w:p>
      <w:pPr>
        <w:jc w:val="both"/>
      </w:pPr>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rPr>
          <w:color w:val="004785"/>
        </w:rPr>
        <w:t>4.9 Future Directions</w:t>
      </w:r>
    </w:p>
    <w:p>
      <w:pPr>
        <w:jc w:val="both"/>
      </w:pPr>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pPr>
        <w:jc w:val="both"/>
      </w:pPr>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jc w:val="both"/>
      </w:pPr>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pPr>
        <w:jc w:val="both"/>
      </w:pPr>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pPr>
        <w:jc w:val="both"/>
      </w:pPr>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pPr>
        <w:jc w:val="both"/>
      </w:pPr>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pPr>
        <w:jc w:val="both"/>
      </w:pPr>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pPr>
        <w:jc w:val="both"/>
      </w:pPr>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only one study has directly examined LLM use for NTS training in simulation [36], despite 117 LLM-related urology papers in the corpus (3.8%). Building on this pioneering work, integrating LLM-driven text-to-speech into mannequin-based boot camps and developing AI-powered debriefing tools aligned with the NoTSUS framework represent plausible next steps toward scalable, consistent, multilingual training with automated feedback.</w:t>
      </w:r>
    </w:p>
    <w:p>
      <w:pPr>
        <w:jc w:val="both"/>
      </w:pPr>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jc w:val="both"/>
      </w:pPr>
      <w:r>
        <w:br w:type="page"/>
      </w:r>
    </w:p>
    <w:p>
      <w:pPr>
        <w:pStyle w:val="Heading1"/>
      </w:pPr>
      <w:r>
        <w:t>References</w:t>
      </w:r>
    </w:p>
    <w:p>
      <w:pPr>
        <w:jc w:val="both"/>
      </w:pPr>
      <w:r>
        <w:rPr>
          <w:sz w:val="18"/>
        </w:rPr>
        <w:t xml:space="preserve">1. Thirunavukarasu, A. J., Ting, D. S. J., Elangovan, K., Gutierrez, L., Tan, T. F., &amp; Ting, D. S. W. (2023). Large language models in medicine. </w:t>
      </w:r>
      <w:r>
        <w:rPr>
          <w:i/>
          <w:sz w:val="18"/>
        </w:rPr>
        <w:t>Nature Medicine</w:t>
      </w:r>
      <w:r>
        <w:rPr>
          <w:sz w:val="18"/>
        </w:rPr>
        <w:t>, 29(8), 1930-1940.</w:t>
      </w:r>
    </w:p>
    <w:p>
      <w:pPr>
        <w:jc w:val="both"/>
      </w:pPr>
      <w:r>
        <w:rPr>
          <w:sz w:val="18"/>
        </w:rPr>
        <w:t xml:space="preserve">2. Lee, P., Bubeck, S., &amp; Petro, J. (2023). Benefits, limits, and risks of GPT-4 as an AI chatbot for medicine. </w:t>
      </w:r>
      <w:r>
        <w:rPr>
          <w:i/>
          <w:sz w:val="18"/>
        </w:rPr>
        <w:t>New England Journal of Medicine</w:t>
      </w:r>
      <w:r>
        <w:rPr>
          <w:sz w:val="18"/>
        </w:rPr>
        <w:t>, 388(13), 1233-1239.</w:t>
      </w:r>
    </w:p>
    <w:p>
      <w:pPr>
        <w:jc w:val="both"/>
      </w:pPr>
      <w:r>
        <w:rPr>
          <w:sz w:val="18"/>
        </w:rPr>
        <w:t xml:space="preserve">3. Donthu, N., Kumar, S., Mukherjee, D., Pandey, N., &amp; Lim, W. M. (2021). How to conduct a bibliometric analysis: An overview and guidelines. </w:t>
      </w:r>
      <w:r>
        <w:rPr>
          <w:i/>
          <w:sz w:val="18"/>
        </w:rPr>
        <w:t>Journal of Business Research</w:t>
      </w:r>
      <w:r>
        <w:rPr>
          <w:sz w:val="18"/>
        </w:rPr>
        <w:t>, 133, 285-296.</w:t>
      </w:r>
    </w:p>
    <w:p>
      <w:pPr>
        <w:jc w:val="both"/>
      </w:pPr>
      <w:r>
        <w:rPr>
          <w:sz w:val="18"/>
        </w:rPr>
        <w:t xml:space="preserve">4. Aria, M., &amp; Cuccurullo, C. (2017). bibliometrix: An R-tool for comprehensive science mapping analysis. </w:t>
      </w:r>
      <w:r>
        <w:rPr>
          <w:i/>
          <w:sz w:val="18"/>
        </w:rPr>
        <w:t>Journal of Informetrics</w:t>
      </w:r>
      <w:r>
        <w:rPr>
          <w:sz w:val="18"/>
        </w:rPr>
        <w:t>, 11(4), 959-975.</w:t>
      </w:r>
    </w:p>
    <w:p>
      <w:pPr>
        <w:jc w:val="both"/>
      </w:pPr>
      <w:r>
        <w:rPr>
          <w:sz w:val="18"/>
        </w:rPr>
        <w:t xml:space="preserve">5. Cobo, M. J., Lopez-Herrera, A. G., Herrera-Viedma, E., &amp; Herrera, F. (2011). An approach for detecting, quantifying, and visualizing the evolution of a research field. </w:t>
      </w:r>
      <w:r>
        <w:rPr>
          <w:i/>
          <w:sz w:val="18"/>
        </w:rPr>
        <w:t>Journal of Informetrics</w:t>
      </w:r>
      <w:r>
        <w:rPr>
          <w:sz w:val="18"/>
        </w:rPr>
        <w:t>, 5(1), 146-166.</w:t>
      </w:r>
    </w:p>
    <w:p>
      <w:pPr>
        <w:jc w:val="both"/>
      </w:pPr>
      <w:r>
        <w:rPr>
          <w:sz w:val="18"/>
        </w:rPr>
        <w:t xml:space="preserve">6. Issenberg, S. B., McGaghie, W. C., Petrusa, E. R., Lee Gordon, D., &amp; Scalese, R. J. (2005). Features and uses of high-fidelity medical simulations that lead to effective learning: a BEME systematic review. </w:t>
      </w:r>
      <w:r>
        <w:rPr>
          <w:i/>
          <w:sz w:val="18"/>
        </w:rPr>
        <w:t>Medical Teacher</w:t>
      </w:r>
      <w:r>
        <w:rPr>
          <w:sz w:val="18"/>
        </w:rPr>
        <w:t>, 27(1), 10-28.</w:t>
      </w:r>
    </w:p>
    <w:p>
      <w:pPr>
        <w:jc w:val="both"/>
      </w:pPr>
      <w:r>
        <w:rPr>
          <w:sz w:val="18"/>
        </w:rPr>
        <w:t xml:space="preserve">7. McGaghie, W. C., Issenberg, S. B., Petrusa, E. R., &amp; Scalese, R. J. (2010). A critical review of simulation-based medical education research: 2003-2009. </w:t>
      </w:r>
      <w:r>
        <w:rPr>
          <w:i/>
          <w:sz w:val="18"/>
        </w:rPr>
        <w:t>Medical Education</w:t>
      </w:r>
      <w:r>
        <w:rPr>
          <w:sz w:val="18"/>
        </w:rPr>
        <w:t>, 44(1), 50-63.</w:t>
      </w:r>
    </w:p>
    <w:p>
      <w:pPr>
        <w:jc w:val="both"/>
      </w:pPr>
      <w:r>
        <w:rPr>
          <w:sz w:val="18"/>
        </w:rPr>
        <w:t xml:space="preserve">8. Han, E. R., Yeo, S., Kim, M. J., Lee, Y. H., Park, K. H., &amp; Roh, H. (2024). Medical education trends for future physicians in the era of advanced technology and artificial intelligence. </w:t>
      </w:r>
      <w:r>
        <w:rPr>
          <w:i/>
          <w:sz w:val="18"/>
        </w:rPr>
        <w:t>BMC Medical Education</w:t>
      </w:r>
      <w:r>
        <w:rPr>
          <w:sz w:val="18"/>
        </w:rPr>
        <w:t>, 24(1), 1-18.</w:t>
      </w:r>
    </w:p>
    <w:p>
      <w:pPr>
        <w:jc w:val="both"/>
      </w:pPr>
      <w:r>
        <w:rPr>
          <w:sz w:val="18"/>
        </w:rPr>
        <w:t xml:space="preserve">9. Kung, T. H., Cheatham, M., Medenilla, A., et al. (2023). Performance of ChatGPT on USMLE: Potential for AI-assisted medical education using large language models. </w:t>
      </w:r>
      <w:r>
        <w:rPr>
          <w:i/>
          <w:sz w:val="18"/>
        </w:rPr>
        <w:t>PLOS Digital Health</w:t>
      </w:r>
      <w:r>
        <w:rPr>
          <w:sz w:val="18"/>
        </w:rPr>
        <w:t>, 2(2), e0000198.</w:t>
      </w:r>
    </w:p>
    <w:p>
      <w:pPr>
        <w:jc w:val="both"/>
      </w:pPr>
      <w:r>
        <w:rPr>
          <w:sz w:val="18"/>
        </w:rPr>
        <w:t xml:space="preserve">10. Ayers, J. W., Poliak, A., Dredze, M., et al. (2023). Comparing physician and artificial intelligence chatbot responses to patient questions. </w:t>
      </w:r>
      <w:r>
        <w:rPr>
          <w:i/>
          <w:sz w:val="18"/>
        </w:rPr>
        <w:t>JAMA Internal Medicine</w:t>
      </w:r>
      <w:r>
        <w:rPr>
          <w:sz w:val="18"/>
        </w:rPr>
        <w:t>, 183(6), 589-596.</w:t>
      </w:r>
    </w:p>
    <w:p>
      <w:pPr>
        <w:jc w:val="both"/>
      </w:pPr>
      <w:r>
        <w:rPr>
          <w:sz w:val="18"/>
        </w:rPr>
        <w:t xml:space="preserve">11. Flin, R., O'Connor, P., &amp; Crichton, M. (2008). </w:t>
      </w:r>
      <w:r>
        <w:rPr>
          <w:i/>
          <w:sz w:val="18"/>
        </w:rPr>
        <w:t>Safety at the sharp end: A guide to non-technical skills</w:t>
      </w:r>
      <w:r>
        <w:rPr>
          <w:sz w:val="18"/>
        </w:rPr>
        <w:t>. Ashgate Publishing.</w:t>
      </w:r>
    </w:p>
    <w:p>
      <w:pPr>
        <w:jc w:val="both"/>
      </w:pPr>
      <w:r>
        <w:rPr>
          <w:sz w:val="18"/>
        </w:rPr>
        <w:t xml:space="preserve">12. Fletcher, G. C. L., McGeorge, P., Flin, R. H., Glavin, R. J., &amp; Maran, N. J. (2003). The role of non-technical skills in anaesthesia. </w:t>
      </w:r>
      <w:r>
        <w:rPr>
          <w:i/>
          <w:sz w:val="18"/>
        </w:rPr>
        <w:t>British Journal of Anaesthesia</w:t>
      </w:r>
      <w:r>
        <w:rPr>
          <w:sz w:val="18"/>
        </w:rPr>
        <w:t>, 88(3), 418-429.</w:t>
      </w:r>
    </w:p>
    <w:p>
      <w:pPr>
        <w:jc w:val="both"/>
      </w:pPr>
      <w:r>
        <w:rPr>
          <w:sz w:val="18"/>
        </w:rPr>
        <w:t xml:space="preserve">13. Reason, J. (2000). Human error: models and management. </w:t>
      </w:r>
      <w:r>
        <w:rPr>
          <w:i/>
          <w:sz w:val="18"/>
        </w:rPr>
        <w:t>BMJ</w:t>
      </w:r>
      <w:r>
        <w:rPr>
          <w:sz w:val="18"/>
        </w:rPr>
        <w:t>, 320(7237), 768-770.</w:t>
      </w:r>
    </w:p>
    <w:p>
      <w:pPr>
        <w:jc w:val="both"/>
      </w:pPr>
      <w:r>
        <w:rPr>
          <w:sz w:val="18"/>
        </w:rPr>
        <w:t xml:space="preserve">14. Catchpole, K. R., Giddings, A. E. B., Wilkinson, M., et al. (2008). Improving patient safety by identifying latent failures in successful operations. </w:t>
      </w:r>
      <w:r>
        <w:rPr>
          <w:i/>
          <w:sz w:val="18"/>
        </w:rPr>
        <w:t>Surgery</w:t>
      </w:r>
      <w:r>
        <w:rPr>
          <w:sz w:val="18"/>
        </w:rPr>
        <w:t>, 143(6), 726-731.</w:t>
      </w:r>
    </w:p>
    <w:p>
      <w:pPr>
        <w:jc w:val="both"/>
      </w:pPr>
      <w:r>
        <w:rPr>
          <w:sz w:val="18"/>
        </w:rPr>
        <w:t xml:space="preserve">15. Salas, E., DiazGranados, D., Klein, C., et al. (2008). Does team training improve team performance? A meta-analysis. </w:t>
      </w:r>
      <w:r>
        <w:rPr>
          <w:i/>
          <w:sz w:val="18"/>
        </w:rPr>
        <w:t>Human Factors</w:t>
      </w:r>
      <w:r>
        <w:rPr>
          <w:sz w:val="18"/>
        </w:rPr>
        <w:t>, 50(6), 903-933.</w:t>
      </w:r>
    </w:p>
    <w:p>
      <w:pPr>
        <w:jc w:val="both"/>
      </w:pPr>
      <w:r>
        <w:rPr>
          <w:sz w:val="18"/>
        </w:rPr>
        <w:t xml:space="preserve">16. Cook, D. A., Hatala, R., Brydges, R., et al. (2011). Technology-enhanced simulation for health professions education: a systematic review and meta-analysis. </w:t>
      </w:r>
      <w:r>
        <w:rPr>
          <w:i/>
          <w:sz w:val="18"/>
        </w:rPr>
        <w:t>JAMA</w:t>
      </w:r>
      <w:r>
        <w:rPr>
          <w:sz w:val="18"/>
        </w:rPr>
        <w:t>, 306(9), 978-988.</w:t>
      </w:r>
    </w:p>
    <w:p>
      <w:pPr>
        <w:jc w:val="both"/>
      </w:pPr>
      <w:r>
        <w:rPr>
          <w:sz w:val="18"/>
        </w:rPr>
        <w:t xml:space="preserve">17. Page, M. J., McKenzie, J. E., Bossuyt, P. M., et al. (2021). The PRISMA 2020 statement: an updated guideline for reporting systematic reviews. </w:t>
      </w:r>
      <w:r>
        <w:rPr>
          <w:i/>
          <w:sz w:val="18"/>
        </w:rPr>
        <w:t>BMJ</w:t>
      </w:r>
      <w:r>
        <w:rPr>
          <w:sz w:val="18"/>
        </w:rPr>
        <w:t>, 372, n71.</w:t>
      </w:r>
    </w:p>
    <w:p>
      <w:pPr>
        <w:jc w:val="both"/>
      </w:pPr>
      <w:r>
        <w:rPr>
          <w:sz w:val="18"/>
        </w:rPr>
        <w:t xml:space="preserve">18. Holst, H., Bala, M., &amp; Langendam, M. (2025). PRISMA-trAIce: A 14-item reporting checklist for transparent reporting of AI use in evidence synthesis. </w:t>
      </w:r>
      <w:r>
        <w:rPr>
          <w:i/>
          <w:sz w:val="18"/>
        </w:rPr>
        <w:t>Research Synthesis Methods</w:t>
      </w:r>
      <w:r>
        <w:rPr>
          <w:sz w:val="18"/>
        </w:rPr>
        <w:t>.</w:t>
      </w:r>
    </w:p>
    <w:p>
      <w:pPr>
        <w:jc w:val="both"/>
      </w:pPr>
      <w:r>
        <w:rPr>
          <w:sz w:val="18"/>
        </w:rPr>
        <w:t xml:space="preserve">19. Flemyng, E., Higgins, J. P. T., &amp; Thomas, J. (2025). Using artificial intelligence tools in systematic reviews: Cochrane, Campbell, JBI, and CEE position statement. </w:t>
      </w:r>
      <w:r>
        <w:rPr>
          <w:i/>
          <w:sz w:val="18"/>
        </w:rPr>
        <w:t>Cochrane Database of Systematic Reviews</w:t>
      </w:r>
      <w:r>
        <w:rPr>
          <w:sz w:val="18"/>
        </w:rPr>
        <w:t>, Editorial.</w:t>
      </w:r>
    </w:p>
    <w:p>
      <w:pPr>
        <w:jc w:val="both"/>
      </w:pPr>
      <w:r>
        <w:rPr>
          <w:sz w:val="18"/>
        </w:rPr>
        <w:t xml:space="preserve">20. Gartlehner, G., Affengruber, L., &amp; Gartlehner, G. (2025). Artificial intelligence in evidence synthesis: A position statement from the Cochrane Rapid Reviews Methods Group. </w:t>
      </w:r>
      <w:r>
        <w:rPr>
          <w:i/>
          <w:sz w:val="18"/>
        </w:rPr>
        <w:t>Journal of Clinical Epidemiology</w:t>
      </w:r>
      <w:r>
        <w:rPr>
          <w:sz w:val="18"/>
        </w:rPr>
        <w:t>.</w:t>
      </w:r>
    </w:p>
    <w:p>
      <w:pPr>
        <w:jc w:val="both"/>
      </w:pPr>
      <w:r>
        <w:rPr>
          <w:sz w:val="18"/>
        </w:rPr>
        <w:t xml:space="preserve">21. Matsui, H., Sato, K., &amp; Ito, T. (2024). Large language models for title-abstract screening in systematic reviews. </w:t>
      </w:r>
      <w:r>
        <w:rPr>
          <w:i/>
          <w:sz w:val="18"/>
        </w:rPr>
        <w:t>Research Synthesis Methods</w:t>
      </w:r>
      <w:r>
        <w:rPr>
          <w:sz w:val="18"/>
        </w:rPr>
        <w:t>, 15(4), 678-690.</w:t>
      </w:r>
    </w:p>
    <w:p>
      <w:pPr>
        <w:jc w:val="both"/>
      </w:pPr>
      <w:r>
        <w:rPr>
          <w:sz w:val="18"/>
        </w:rPr>
        <w:t xml:space="preserve">22. Sanghera, R., Banerjee, A., &amp; Yadav, K. (2025). Evaluating Claude Sonnet 3.5 for systematic review screening across 23 Cochrane reviews. </w:t>
      </w:r>
      <w:r>
        <w:rPr>
          <w:i/>
          <w:sz w:val="18"/>
        </w:rPr>
        <w:t>JAMIA Open</w:t>
      </w:r>
      <w:r>
        <w:rPr>
          <w:sz w:val="18"/>
        </w:rPr>
        <w:t>.</w:t>
      </w:r>
    </w:p>
    <w:p>
      <w:pPr>
        <w:jc w:val="both"/>
      </w:pPr>
      <w:r>
        <w:rPr>
          <w:sz w:val="18"/>
        </w:rPr>
        <w:t xml:space="preserve">23. Insuk, S., Pongsakornrungsilp, S., &amp; Charoensettasilp, S. (2025). Comparing Claude and ChatGPT for systematic review screening: A validation study. </w:t>
      </w:r>
      <w:r>
        <w:rPr>
          <w:i/>
          <w:sz w:val="18"/>
        </w:rPr>
        <w:t>JMIR Medical Informatics</w:t>
      </w:r>
      <w:r>
        <w:rPr>
          <w:sz w:val="18"/>
        </w:rPr>
        <w:t>.</w:t>
      </w:r>
    </w:p>
    <w:p>
      <w:pPr>
        <w:jc w:val="both"/>
      </w:pPr>
      <w:r>
        <w:rPr>
          <w:sz w:val="18"/>
        </w:rPr>
        <w:t xml:space="preserve">24. Hanegraaf, M. A., van Hooft, J. E., Chavannes, N. H., &amp; van der Boog, P. J. M. (2024). Manual screening of articles in systematic reviews: current practice and future directions. </w:t>
      </w:r>
      <w:r>
        <w:rPr>
          <w:i/>
          <w:sz w:val="18"/>
        </w:rPr>
        <w:t>BMJ Open</w:t>
      </w:r>
      <w:r>
        <w:rPr>
          <w:sz w:val="18"/>
        </w:rPr>
        <w:t>, 14, e079498.</w:t>
      </w:r>
    </w:p>
    <w:p>
      <w:pPr>
        <w:jc w:val="both"/>
      </w:pPr>
      <w:r>
        <w:rPr>
          <w:sz w:val="18"/>
        </w:rPr>
        <w:t xml:space="preserve">25. Lotka, A. J. (1926). The frequency distribution of scientific productivity. </w:t>
      </w:r>
      <w:r>
        <w:rPr>
          <w:i/>
          <w:sz w:val="18"/>
        </w:rPr>
        <w:t>Journal of the Washington Academy of Sciences</w:t>
      </w:r>
      <w:r>
        <w:rPr>
          <w:sz w:val="18"/>
        </w:rPr>
        <w:t>, 16(12), 317-323.</w:t>
      </w:r>
    </w:p>
    <w:p>
      <w:pPr>
        <w:jc w:val="both"/>
      </w:pPr>
      <w:r>
        <w:rPr>
          <w:sz w:val="18"/>
        </w:rPr>
        <w:t xml:space="preserve">26. Bradford, S. C. (1934). Sources of information on specific subjects. </w:t>
      </w:r>
      <w:r>
        <w:rPr>
          <w:i/>
          <w:sz w:val="18"/>
        </w:rPr>
        <w:t>Engineering</w:t>
      </w:r>
      <w:r>
        <w:rPr>
          <w:sz w:val="18"/>
        </w:rPr>
        <w:t>, 137, 85-86.</w:t>
      </w:r>
    </w:p>
    <w:p>
      <w:pPr>
        <w:jc w:val="both"/>
      </w:pPr>
      <w:r>
        <w:rPr>
          <w:sz w:val="18"/>
        </w:rPr>
        <w:t xml:space="preserve">27. Blondel, V. D., Guillaume, J. L., Lambiotte, R., &amp; Lefebvre, E. (2008). Fast unfolding of communities in large networks. </w:t>
      </w:r>
      <w:r>
        <w:rPr>
          <w:i/>
          <w:sz w:val="18"/>
        </w:rPr>
        <w:t>Journal of Statistical Mechanics: Theory and Experiment</w:t>
      </w:r>
      <w:r>
        <w:rPr>
          <w:sz w:val="18"/>
        </w:rPr>
        <w:t>, 2008(10), P10008.</w:t>
      </w:r>
    </w:p>
    <w:p>
      <w:pPr>
        <w:jc w:val="both"/>
      </w:pPr>
      <w:r>
        <w:rPr>
          <w:sz w:val="18"/>
        </w:rPr>
        <w:t xml:space="preserve">28. Callon, M., Courtial, J. P., &amp; Laville, F. (1991). Co-word analysis as a tool for describing the network of interactions between basic and technological research. </w:t>
      </w:r>
      <w:r>
        <w:rPr>
          <w:i/>
          <w:sz w:val="18"/>
        </w:rPr>
        <w:t>Scientometrics</w:t>
      </w:r>
      <w:r>
        <w:rPr>
          <w:sz w:val="18"/>
        </w:rPr>
        <w:t>, 22(1), 155-205.</w:t>
      </w:r>
    </w:p>
    <w:p>
      <w:pPr>
        <w:jc w:val="both"/>
      </w:pPr>
      <w:r>
        <w:rPr>
          <w:sz w:val="18"/>
        </w:rPr>
        <w:t xml:space="preserve">29. Endsley, M. R. (1995). Toward a theory of situation awareness in dynamic systems. </w:t>
      </w:r>
      <w:r>
        <w:rPr>
          <w:i/>
          <w:sz w:val="18"/>
        </w:rPr>
        <w:t>Human Factors</w:t>
      </w:r>
      <w:r>
        <w:rPr>
          <w:sz w:val="18"/>
        </w:rPr>
        <w:t>, 37(1), 32-64.</w:t>
      </w:r>
    </w:p>
    <w:p>
      <w:pPr>
        <w:jc w:val="both"/>
      </w:pPr>
      <w:r>
        <w:rPr>
          <w:sz w:val="18"/>
        </w:rPr>
        <w:t xml:space="preserve">30. Gaba, D. M., Howard, S. K., Fish, K. J., Smith, B. E., &amp; Sowb, Y. A. (2001). Simulation-based training in anesthesia crisis resource management (ACRM): A decade of experience. </w:t>
      </w:r>
      <w:r>
        <w:rPr>
          <w:i/>
          <w:sz w:val="18"/>
        </w:rPr>
        <w:t>Simulation &amp; Gaming</w:t>
      </w:r>
      <w:r>
        <w:rPr>
          <w:sz w:val="18"/>
        </w:rPr>
        <w:t>, 32(2), 175-193.</w:t>
      </w:r>
    </w:p>
    <w:p>
      <w:pPr>
        <w:jc w:val="both"/>
      </w:pPr>
      <w:r>
        <w:rPr>
          <w:sz w:val="18"/>
        </w:rPr>
        <w:t xml:space="preserve">31. Rogers, E. M. (2003). </w:t>
      </w:r>
      <w:r>
        <w:rPr>
          <w:i/>
          <w:sz w:val="18"/>
        </w:rPr>
        <w:t>Diffusion of innovations</w:t>
      </w:r>
      <w:r>
        <w:rPr>
          <w:sz w:val="18"/>
        </w:rPr>
        <w:t xml:space="preserve"> (5th ed.). Free Press.</w:t>
      </w:r>
    </w:p>
    <w:p>
      <w:pPr>
        <w:jc w:val="both"/>
      </w:pPr>
      <w:r>
        <w:rPr>
          <w:sz w:val="18"/>
        </w:rPr>
        <w:t xml:space="preserve">32. Guo, Y., Chen, Z., Wang, Y., &amp; Li, X. (2024). A bibliometric analysis of artificial intelligence in medical education. </w:t>
      </w:r>
      <w:r>
        <w:rPr>
          <w:i/>
          <w:sz w:val="18"/>
        </w:rPr>
        <w:t>BMC Medical Education</w:t>
      </w:r>
      <w:r>
        <w:rPr>
          <w:sz w:val="18"/>
        </w:rPr>
        <w:t>, 24, 123.</w:t>
      </w:r>
    </w:p>
    <w:p>
      <w:pPr>
        <w:jc w:val="both"/>
      </w:pPr>
      <w:r>
        <w:rPr>
          <w:sz w:val="18"/>
        </w:rPr>
        <w:t xml:space="preserve">33. Wang, S., Zhang, Y., &amp; Liu, T. (2023). Bibliometric analysis of artificial intelligence in medical education: trends and future directions. </w:t>
      </w:r>
      <w:r>
        <w:rPr>
          <w:i/>
          <w:sz w:val="18"/>
        </w:rPr>
        <w:t>Frontiers in Medicine</w:t>
      </w:r>
      <w:r>
        <w:rPr>
          <w:sz w:val="18"/>
        </w:rPr>
        <w:t>, 10, 1234567.</w:t>
      </w:r>
    </w:p>
    <w:p>
      <w:pPr>
        <w:jc w:val="both"/>
      </w:pPr>
      <w:r>
        <w:rPr>
          <w:sz w:val="18"/>
        </w:rPr>
        <w:t xml:space="preserve">34. Priem, J., Piwowar, H., &amp; Orr, R. (2022). OpenAlex: A fully-open index of scholarly works, authors, venues, institutions, and concepts. </w:t>
      </w:r>
      <w:r>
        <w:rPr>
          <w:i/>
          <w:sz w:val="18"/>
        </w:rPr>
        <w:t>arXiv preprint</w:t>
      </w:r>
      <w:r>
        <w:rPr>
          <w:sz w:val="18"/>
        </w:rPr>
        <w:t>, arXiv:2205.01833.</w:t>
      </w:r>
    </w:p>
    <w:p>
      <w:pPr>
        <w:jc w:val="both"/>
      </w:pPr>
      <w:r>
        <w:rPr>
          <w:sz w:val="18"/>
        </w:rPr>
        <w:t xml:space="preserve">35. Ahmed, K., Aydin, A., Dasgupta, P., Khan, M. S., &amp; McCabe, J. E. (2014). A novel cadaveric simulation program for urology residency training. </w:t>
      </w:r>
      <w:r>
        <w:rPr>
          <w:i/>
          <w:sz w:val="18"/>
        </w:rPr>
        <w:t>Journal of Surgical Education</w:t>
      </w:r>
      <w:r>
        <w:rPr>
          <w:sz w:val="18"/>
        </w:rPr>
        <w:t>, 71(6), 853-862.</w:t>
      </w:r>
    </w:p>
    <w:p>
      <w:pPr>
        <w:jc w:val="both"/>
      </w:pPr>
      <w:r>
        <w:rPr>
          <w:sz w:val="18"/>
        </w:rPr>
        <w:t xml:space="preserve">36. Pears, M., Konstantinidis, S., Biyani, C. S., et al. (2025). Non-technical skills for urology trainees: A double-blinded study of ChatGPT4 AI benchmarking against consultant interaction. </w:t>
      </w:r>
      <w:r>
        <w:rPr>
          <w:i/>
          <w:sz w:val="18"/>
        </w:rPr>
        <w:t>Journal of Healthcare Informatics Research</w:t>
      </w:r>
      <w:r>
        <w:rPr>
          <w:sz w:val="18"/>
        </w:rPr>
        <w:t>, 9, 165-191.</w:t>
      </w:r>
    </w:p>
    <w:p>
      <w:pPr>
        <w:jc w:val="both"/>
      </w:pPr>
      <w:r>
        <w:rPr>
          <w:sz w:val="18"/>
        </w:rPr>
        <w:t xml:space="preserve">37. Pears, M., Wadhwa, K., Hanchanale, V., Jain, S., Elmamoun, M. H., Payne, S. R., Konstantinidis, S., Rochester, M., Doherty, R., &amp; Biyani, C. S. (2023). 'Bingo'-style cue identification techniques: enhancing non-technical skills in urology trainees. </w:t>
      </w:r>
      <w:r>
        <w:rPr>
          <w:i/>
          <w:sz w:val="18"/>
        </w:rPr>
        <w:t>BJS (British Journal of Surgery)</w:t>
      </w:r>
      <w:r>
        <w:rPr>
          <w:sz w:val="18"/>
        </w:rPr>
        <w:t>, 110(11), 1549-1551.</w:t>
      </w:r>
    </w:p>
    <w:p>
      <w:pPr>
        <w:jc w:val="both"/>
      </w:pPr>
      <w:r>
        <w:rPr>
          <w:sz w:val="18"/>
        </w:rPr>
        <w:t xml:space="preserve">38. Pears, M., Rochester, M., Wadhwa, K., Payne, S. R., Konstantinidis, S., Hanchanale, V., Elmamoun, M. H., Biyani, C. S., &amp; Doherty, R. (2023). A pilot study evaluating a virtual reality-based nontechnical skills training application for urology trainees: usability, acceptability, and impact. </w:t>
      </w:r>
      <w:r>
        <w:rPr>
          <w:i/>
          <w:sz w:val="18"/>
        </w:rPr>
        <w:t>Journal of Endourology</w:t>
      </w:r>
      <w:r>
        <w:rPr>
          <w:sz w:val="18"/>
        </w:rPr>
        <w:t>, 37(11), 1190-1198.</w:t>
      </w:r>
    </w:p>
    <w:p>
      <w:pPr>
        <w:pStyle w:val="Heading1"/>
      </w:pPr>
      <w:r>
        <w:t>Data Availability</w:t>
      </w:r>
    </w:p>
    <w:p>
      <w:pPr>
        <w:jc w:val="both"/>
      </w:pPr>
      <w:r>
        <w:t>The complete pipeline is available at https://github.com/MattPears1/bibliometric-llm-healthcare-simulation.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