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rtl w:val="0"/>
        </w:rPr>
        <w:t xml:space="preserve">ASSIEME URDF REV01 </w:t>
      </w:r>
      <w:r w:rsidDel="00000000" w:rsidR="00000000" w:rsidRPr="00000000">
        <w:rPr>
          <w:color w:val="ff0000"/>
          <w:rtl w:val="0"/>
        </w:rPr>
        <w:t xml:space="preserve">(completo con JETSON ORIN)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295822" cy="433863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822" cy="4338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2814638" cy="219679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2196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05113" cy="2207302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113" cy="22073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PESO REALE DEL ROBOT AL 30/10/2026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2807 g</w:t>
      </w:r>
    </w:p>
    <w:p w:rsidR="00000000" w:rsidDel="00000000" w:rsidP="00000000" w:rsidRDefault="00000000" w:rsidRPr="00000000" w14:paraId="0000000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(senza JETSON ORIN e con BT dongle per DALY SMART)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lf_hip_link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252913" cy="3369998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2913" cy="3369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271795" cy="336625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795" cy="33662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lf_upper_leg_link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724400" cy="37052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714875" cy="3657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lf_lower_leg_link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714875" cy="3771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752975" cy="370522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lf_foot_link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752975" cy="3724275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772025" cy="3743325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base_link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724400" cy="375285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75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</w:rPr>
        <w:drawing>
          <wp:inline distB="114300" distT="114300" distL="114300" distR="114300">
            <wp:extent cx="4781550" cy="3762375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head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3.png"/><Relationship Id="rId18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