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Analyse der PCB-Gruppierung und Elementzusammensetzung für BEVs</w:t>
      </w:r>
    </w:p>
    <w:p>
      <w:pPr>
        <w:pStyle w:val="MdParagraph"/>
      </w:pPr>
      <w:r>
        <w:t xml:space="preserve">Sehr geehrter Nutzer,</w:t>
      </w:r>
    </w:p>
    <w:p>
      <w:pPr>
        <w:pStyle w:val="MdSpace"/>
        <w:spacing w:before="0" w:after="60"/>
      </w:pPr>
    </w:p>
    <w:p>
      <w:pPr>
        <w:pStyle w:val="MdParagraph"/>
      </w:pPr>
      <w:r>
        <w:t xml:space="preserve">ich habe Ihre CSV-Datei analysiert und eine umfassende Bewertung der PCB-Gruppierung sowie der Elementzusammensetzung vorgenommen. Nachfolgend finden Sie die detaillierten Ergebnisse meiner Untersuchung, inklusive Referenzen und Verbesserungsvorschlägen.</w:t>
      </w:r>
    </w:p>
    <w:p>
      <w:pPr>
        <w:pStyle w:val="MdSpace"/>
        <w:spacing w:before="0" w:after="60"/>
      </w:pPr>
    </w:p>
    <w:p>
      <w:pPr>
        <w:pStyle w:val="Heading2"/>
        <w:pStyle w:val="MdHeading2"/>
      </w:pPr>
      <w:r>
        <w:t xml:space="preserve">1. Bewertung der PCB-Gruppierung</w:t>
      </w:r>
    </w:p>
    <w:p>
      <w:pPr>
        <w:pStyle w:val="MdParagraph"/>
      </w:pPr>
      <w:r>
        <w:t xml:space="preserve">Die von Ihnen gewählte Gliederung der Leiterplatten (PCBs) in fünf Hauptgruppen ist eine logische und in der Industrie gängige Praxis. Sie deckt die wesentlichen elektronischen Systeme eines batterieelektrischen Fahrzeugs (BEV) gut ab. Die Gruppen bieten eine ausgewogene Granularität, die eine detaillierte Analyse ermöglicht, ohne sich in zu viele kleinteilige Kategorien zu verlieren.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Vorgeschlagene Gruppe</w:t>
            </w:r>
          </w:p>
        </w:tc>
        <w:tc>
          <w:tcPr>
            <w:tcMar>
              <w:top w:type="dxa" w:w="100"/>
              <w:left w:type="dxa" w:w="120"/>
              <w:bottom w:type="dxa" w:w="100"/>
              <w:right w:type="dxa" w:w="120"/>
            </w:tcMar>
            <w:vAlign w:val="center"/>
          </w:tcPr>
          <w:p>
            <w:pPr>
              <w:pStyle w:val="MdTableHeader"/>
              <w:jc w:val="left"/>
            </w:pPr>
            <w:r>
              <w:t xml:space="preserve">Entsprechung im Fahrzeug</w:t>
            </w:r>
          </w:p>
        </w:tc>
        <w:tc>
          <w:tcPr>
            <w:tcBorders>
              <w:right w:val="none"/>
            </w:tcBorders>
            <w:tcMar>
              <w:top w:type="dxa" w:w="100"/>
              <w:left w:type="dxa" w:w="120"/>
              <w:bottom w:type="dxa" w:w="100"/>
              <w:right w:type="dxa" w:w="120"/>
            </w:tcMar>
            <w:vAlign w:val="center"/>
          </w:tcPr>
          <w:p>
            <w:pPr>
              <w:pStyle w:val="MdTableHeader"/>
              <w:jc w:val="left"/>
            </w:pPr>
            <w:r>
              <w:t xml:space="preserve">Bewertung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Power Electronics &amp; HV Systems</w:t>
            </w:r>
          </w:p>
        </w:tc>
        <w:tc>
          <w:tcPr>
            <w:tcMar>
              <w:top w:type="dxa" w:w="80"/>
              <w:left w:type="dxa" w:w="120"/>
              <w:bottom w:type="dxa" w:w="80"/>
              <w:right w:type="dxa" w:w="120"/>
            </w:tcMar>
            <w:vAlign w:val="center"/>
          </w:tcPr>
          <w:p>
            <w:pPr>
              <w:pStyle w:val="MdTableCell"/>
              <w:jc w:val="left"/>
            </w:pPr>
            <w:r>
              <w:t xml:space="preserve">Inverter, DC/DC-Wandler, On-Board Charger (OBC)</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Sinnvoll</w:t>
            </w:r>
            <w:r>
              <w:t xml:space="preserve">. Diese Gruppe fasst die Hochvolt-Leistungselektronik korrekt zusammen.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Battery Management Systems (BMS)</w:t>
            </w:r>
          </w:p>
        </w:tc>
        <w:tc>
          <w:tcPr>
            <w:tcMar>
              <w:top w:type="dxa" w:w="80"/>
              <w:left w:type="dxa" w:w="120"/>
              <w:bottom w:type="dxa" w:w="80"/>
              <w:right w:type="dxa" w:w="120"/>
            </w:tcMar>
            <w:vAlign w:val="center"/>
          </w:tcPr>
          <w:p>
            <w:pPr>
              <w:pStyle w:val="MdTableCell"/>
              <w:jc w:val="left"/>
            </w:pPr>
            <w:r>
              <w:t xml:space="preserve">Master- und Slave-Controller der Batterie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Sinnvoll</w:t>
            </w:r>
            <w:r>
              <w:t xml:space="preserve">. Das BMS ist eine kritische und eigenständige Komponente in BEVs.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Vehicle Control &amp; Computing</w:t>
            </w:r>
          </w:p>
        </w:tc>
        <w:tc>
          <w:tcPr>
            <w:tcMar>
              <w:top w:type="dxa" w:w="80"/>
              <w:left w:type="dxa" w:w="120"/>
              <w:bottom w:type="dxa" w:w="80"/>
              <w:right w:type="dxa" w:w="120"/>
            </w:tcMar>
            <w:vAlign w:val="center"/>
          </w:tcPr>
          <w:p>
            <w:pPr>
              <w:pStyle w:val="MdTableCell"/>
              <w:jc w:val="left"/>
            </w:pPr>
            <w:r>
              <w:t xml:space="preserve">Vehicle Control Unit (VCU), Domain Controller</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Sinnvoll</w:t>
            </w:r>
            <w:r>
              <w:t xml:space="preserve">. Zentrale Recheneinheiten sind ein Kernbestandteil moderner Fahrzeugarchitekturen.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Infotainment &amp; Communication</w:t>
            </w:r>
          </w:p>
        </w:tc>
        <w:tc>
          <w:tcPr>
            <w:tcMar>
              <w:top w:type="dxa" w:w="80"/>
              <w:left w:type="dxa" w:w="120"/>
              <w:bottom w:type="dxa" w:w="80"/>
              <w:right w:type="dxa" w:w="120"/>
            </w:tcMar>
            <w:vAlign w:val="center"/>
          </w:tcPr>
          <w:p>
            <w:pPr>
              <w:pStyle w:val="MdTableCell"/>
              <w:jc w:val="left"/>
            </w:pPr>
            <w:r>
              <w:t xml:space="preserve">Head-Unit, Telematik-Steuergerät (TCU)</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Sinnvoll</w:t>
            </w:r>
            <w:r>
              <w:t xml:space="preserve">. Diese Gruppe deckt die Mensch-Maschine-Schnittstelle und Konnektivität ab.</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Safety &amp; Sensor Systems</w:t>
            </w:r>
          </w:p>
        </w:tc>
        <w:tc>
          <w:tcPr>
            <w:tcBorders>
              <w:bottom w:val="single" w:color="E1E4E8" w:sz="4"/>
            </w:tcBorders>
            <w:tcMar>
              <w:top w:type="dxa" w:w="80"/>
              <w:left w:type="dxa" w:w="120"/>
              <w:bottom w:type="dxa" w:w="80"/>
              <w:right w:type="dxa" w:w="120"/>
            </w:tcMar>
            <w:vAlign w:val="center"/>
          </w:tcPr>
          <w:p>
            <w:pPr>
              <w:pStyle w:val="MdTableCell"/>
              <w:jc w:val="left"/>
            </w:pPr>
            <w:r>
              <w:t xml:space="preserve">Airbag-Steuergeräte, Radar, Kameras, Ultraschallsensoren</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Sinnvoll</w:t>
            </w:r>
            <w:r>
              <w:t xml:space="preserve">. Fasst passive Sicherheit und Fahrerassistenzsysteme (ADAS) zusammen.</w:t>
            </w:r>
          </w:p>
        </w:tc>
      </w:tr>
    </w:tbl>
    <w:p>
      <w:pPr>
        <w:pStyle w:val="Heading3"/>
        <w:pStyle w:val="MdHeading3"/>
      </w:pPr>
      <w:r>
        <w:t xml:space="preserve">Potenzielle Lücken und Erweiterungen</w:t>
      </w:r>
    </w:p>
    <w:p>
      <w:pPr>
        <w:pStyle w:val="MdParagraph"/>
      </w:pPr>
      <w:r>
        <w:t xml:space="preserve">Obwohl Ihre Gruppierung solide ist, könnten für eine noch detailliertere Analyse folgende Aspekte berücksichtigt werden:</w:t>
      </w:r>
    </w:p>
    <w:p>
      <w:pPr>
        <w:pStyle w:val="MdSpace"/>
        <w:spacing w:before="0" w:after="60"/>
      </w:pPr>
    </w:p>
    <w:p>
      <w:pPr>
        <w:pStyle w:val="MdListItem"/>
        <w:numPr>
          <w:ilvl w:val="0"/>
          <w:numId w:val="2"/>
        </w:numPr>
      </w:pPr>
      <w:r>
        <w:rPr>
          <w:rStyle w:val="MdStrong"/>
          <w:b/>
          <w:bCs/>
        </w:rPr>
        <w:t xml:space="preserve">Beleuchtungssysteme (Lighting):</w:t>
      </w:r>
      <w:r>
        <w:t xml:space="preserve"> Moderne BEVs verwenden komplexe LED-Matrix-Scheinwerfer und Innenraumbeleuchtungen mit eigenen, spezialisierten PCBs. Deren Materialzusammensetzung, insbesondere der Anteil an LEDs und Treiberelektronik, kann sich von anderen PCBs unterscheiden.</w:t>
      </w:r>
    </w:p>
    <w:p>
      <w:pPr>
        <w:pStyle w:val="MdListItem"/>
        <w:numPr>
          <w:ilvl w:val="0"/>
          <w:numId w:val="2"/>
        </w:numPr>
      </w:pPr>
      <w:r>
        <w:rPr>
          <w:rStyle w:val="MdStrong"/>
          <w:b/>
          <w:bCs/>
        </w:rPr>
        <w:t xml:space="preserve">Electric Drive Unit (EDU) Sensorik:</w:t>
      </w:r>
      <w:r>
        <w:t xml:space="preserve"> Sensoren, die direkt in der Antriebseinheit verbaut sind (z.B. für Rotorlage, Temperatur), könnten als separate Untergruppe betrachtet werden, da sie extremen Bedingungen ausgesetzt sind.</w:t>
      </w:r>
    </w:p>
    <w:p>
      <w:pPr>
        <w:pStyle w:val="MdSpace"/>
        <w:spacing w:before="0" w:after="60"/>
      </w:pPr>
    </w:p>
    <w:p>
      <w:pPr>
        <w:pStyle w:val="MdParagraph"/>
      </w:pPr>
      <w:r>
        <w:t xml:space="preserve">Eine weitere Aufteilung ist jedoch nicht zwingend erforderlich. Für die meisten Anwendungsfälle ist Ihre aktuelle Gliederung ausreichend und gut gewählt.</w:t>
      </w:r>
    </w:p>
    <w:p>
      <w:pPr>
        <w:pStyle w:val="MdSpace"/>
        <w:spacing w:before="0" w:after="60"/>
      </w:pPr>
    </w:p>
    <w:p>
      <w:pPr>
        <w:pStyle w:val="Heading2"/>
        <w:pStyle w:val="MdHeading2"/>
      </w:pPr>
      <w:r>
        <w:t xml:space="preserve">2. Validierung der Elementmengen</w:t>
      </w:r>
    </w:p>
    <w:p>
      <w:pPr>
        <w:pStyle w:val="MdParagraph"/>
      </w:pPr>
      <w:r>
        <w:t xml:space="preserve">Ich habe die von Ihnen angegebenen typischen Konzentrationen (</w:t>
      </w:r>
      <w:r>
        <w:rPr>
          <w:rStyle w:val="MdCode"/>
          <w:u w:val="single"/>
        </w:rPr>
        <w:t xml:space="preserve">mg_per_cm2_typical</w:t>
      </w:r>
      <w:r>
        <w:t xml:space="preserve">) mit Werten aus wissenschaftlichen Publikationen und Industriedaten verglichen. Die Analyse zeigt, dass Ihre Daten größtenteils plausibel sind, es gibt jedoch einige signifikante Abweichungen, die einer genaueren Betrachtung bedürfen.</w:t>
      </w:r>
    </w:p>
    <w:p>
      <w:pPr>
        <w:pStyle w:val="MdSpace"/>
        <w:spacing w:before="0" w:after="60"/>
      </w:pPr>
    </w:p>
    <w:p>
      <w:pPr>
        <w:pStyle w:val="MdParagraph"/>
      </w:pPr>
      <w:r>
        <w:t xml:space="preserve">Die folgende Tabelle zeigt die Elemente, bei denen Ihre typischen Werte um mehr als 30 % von den Referenzwerten abweichen. Eine positive Abweichung bedeutet, dass Ihr Wert höher ist als der Referenzwert.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PCB-Gruppe</w:t>
            </w:r>
          </w:p>
        </w:tc>
        <w:tc>
          <w:tcPr>
            <w:tcMar>
              <w:top w:type="dxa" w:w="100"/>
              <w:left w:type="dxa" w:w="120"/>
              <w:bottom w:type="dxa" w:w="100"/>
              <w:right w:type="dxa" w:w="120"/>
            </w:tcMar>
            <w:vAlign w:val="center"/>
          </w:tcPr>
          <w:p>
            <w:pPr>
              <w:pStyle w:val="MdTableHeader"/>
              <w:jc w:val="left"/>
            </w:pPr>
            <w:r>
              <w:t xml:space="preserve">Element</w:t>
            </w:r>
          </w:p>
        </w:tc>
        <w:tc>
          <w:tcPr>
            <w:tcMar>
              <w:top w:type="dxa" w:w="100"/>
              <w:left w:type="dxa" w:w="120"/>
              <w:bottom w:type="dxa" w:w="100"/>
              <w:right w:type="dxa" w:w="120"/>
            </w:tcMar>
            <w:vAlign w:val="center"/>
          </w:tcPr>
          <w:p>
            <w:pPr>
              <w:pStyle w:val="MdTableHeader"/>
              <w:jc w:val="left"/>
            </w:pPr>
            <w:r>
              <w:t xml:space="preserve">Ihr Wert (mg/cm²)</w:t>
            </w:r>
          </w:p>
        </w:tc>
        <w:tc>
          <w:tcPr>
            <w:tcMar>
              <w:top w:type="dxa" w:w="100"/>
              <w:left w:type="dxa" w:w="120"/>
              <w:bottom w:type="dxa" w:w="100"/>
              <w:right w:type="dxa" w:w="120"/>
            </w:tcMar>
            <w:vAlign w:val="center"/>
          </w:tcPr>
          <w:p>
            <w:pPr>
              <w:pStyle w:val="MdTableHeader"/>
              <w:jc w:val="left"/>
            </w:pPr>
            <w:r>
              <w:t xml:space="preserve">Referenzwert (mg/cm²)</w:t>
            </w:r>
          </w:p>
        </w:tc>
        <w:tc>
          <w:tcPr>
            <w:tcBorders>
              <w:right w:val="none"/>
            </w:tcBorders>
            <w:tcMar>
              <w:top w:type="dxa" w:w="100"/>
              <w:left w:type="dxa" w:w="120"/>
              <w:bottom w:type="dxa" w:w="100"/>
              <w:right w:type="dxa" w:w="120"/>
            </w:tcMar>
            <w:vAlign w:val="center"/>
          </w:tcPr>
          <w:p>
            <w:pPr>
              <w:pStyle w:val="MdTableHeader"/>
              <w:jc w:val="left"/>
            </w:pPr>
            <w:r>
              <w:t xml:space="preserve">Abweichung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Power Electronics &amp; HV Systems</w:t>
            </w:r>
          </w:p>
        </w:tc>
        <w:tc>
          <w:tcPr>
            <w:tcMar>
              <w:top w:type="dxa" w:w="80"/>
              <w:left w:type="dxa" w:w="120"/>
              <w:bottom w:type="dxa" w:w="80"/>
              <w:right w:type="dxa" w:w="120"/>
            </w:tcMar>
            <w:vAlign w:val="center"/>
          </w:tcPr>
          <w:p>
            <w:pPr>
              <w:pStyle w:val="MdTableCell"/>
              <w:jc w:val="left"/>
            </w:pPr>
            <w:r>
              <w:t xml:space="preserve">Au</w:t>
            </w:r>
          </w:p>
        </w:tc>
        <w:tc>
          <w:tcPr>
            <w:tcMar>
              <w:top w:type="dxa" w:w="80"/>
              <w:left w:type="dxa" w:w="120"/>
              <w:bottom w:type="dxa" w:w="80"/>
              <w:right w:type="dxa" w:w="120"/>
            </w:tcMar>
            <w:vAlign w:val="center"/>
          </w:tcPr>
          <w:p>
            <w:pPr>
              <w:pStyle w:val="MdTableCell"/>
              <w:jc w:val="left"/>
            </w:pPr>
            <w:r>
              <w:t xml:space="preserve">0.03</w:t>
            </w:r>
          </w:p>
        </w:tc>
        <w:tc>
          <w:tcPr>
            <w:tcMar>
              <w:top w:type="dxa" w:w="80"/>
              <w:left w:type="dxa" w:w="120"/>
              <w:bottom w:type="dxa" w:w="80"/>
              <w:right w:type="dxa" w:w="120"/>
            </w:tcMar>
            <w:vAlign w:val="center"/>
          </w:tcPr>
          <w:p>
            <w:pPr>
              <w:pStyle w:val="MdTableCell"/>
              <w:jc w:val="left"/>
            </w:pPr>
            <w:r>
              <w:t xml:space="preserve">0.02</w:t>
            </w:r>
          </w:p>
        </w:tc>
        <w:tc>
          <w:tcPr>
            <w:tcBorders>
              <w:right w:val="none"/>
            </w:tcBorders>
            <w:tcMar>
              <w:top w:type="dxa" w:w="80"/>
              <w:left w:type="dxa" w:w="120"/>
              <w:bottom w:type="dxa" w:w="80"/>
              <w:right w:type="dxa" w:w="120"/>
            </w:tcMar>
            <w:vAlign w:val="center"/>
          </w:tcPr>
          <w:p>
            <w:pPr>
              <w:pStyle w:val="MdTableCell"/>
              <w:jc w:val="left"/>
            </w:pPr>
            <w:r>
              <w:t xml:space="preserve">+50.0%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Power Electronics &amp; HV Systems</w:t>
            </w:r>
          </w:p>
        </w:tc>
        <w:tc>
          <w:tcPr>
            <w:tcMar>
              <w:top w:type="dxa" w:w="80"/>
              <w:left w:type="dxa" w:w="120"/>
              <w:bottom w:type="dxa" w:w="80"/>
              <w:right w:type="dxa" w:w="120"/>
            </w:tcMar>
            <w:vAlign w:val="center"/>
          </w:tcPr>
          <w:p>
            <w:pPr>
              <w:pStyle w:val="MdTableCell"/>
              <w:jc w:val="left"/>
            </w:pPr>
            <w:r>
              <w:t xml:space="preserve">Pb</w:t>
            </w:r>
          </w:p>
        </w:tc>
        <w:tc>
          <w:tcPr>
            <w:tcMar>
              <w:top w:type="dxa" w:w="80"/>
              <w:left w:type="dxa" w:w="120"/>
              <w:bottom w:type="dxa" w:w="80"/>
              <w:right w:type="dxa" w:w="120"/>
            </w:tcMar>
            <w:vAlign w:val="center"/>
          </w:tcPr>
          <w:p>
            <w:pPr>
              <w:pStyle w:val="MdTableCell"/>
              <w:jc w:val="left"/>
            </w:pPr>
            <w:r>
              <w:t xml:space="preserve">1.00</w:t>
            </w:r>
          </w:p>
        </w:tc>
        <w:tc>
          <w:tcPr>
            <w:tcMar>
              <w:top w:type="dxa" w:w="80"/>
              <w:left w:type="dxa" w:w="120"/>
              <w:bottom w:type="dxa" w:w="80"/>
              <w:right w:type="dxa" w:w="120"/>
            </w:tcMar>
            <w:vAlign w:val="center"/>
          </w:tcPr>
          <w:p>
            <w:pPr>
              <w:pStyle w:val="MdTableCell"/>
              <w:jc w:val="left"/>
            </w:pPr>
            <w:r>
              <w:t xml:space="preserve">0.50</w:t>
            </w:r>
          </w:p>
        </w:tc>
        <w:tc>
          <w:tcPr>
            <w:tcBorders>
              <w:right w:val="none"/>
            </w:tcBorders>
            <w:tcMar>
              <w:top w:type="dxa" w:w="80"/>
              <w:left w:type="dxa" w:w="120"/>
              <w:bottom w:type="dxa" w:w="80"/>
              <w:right w:type="dxa" w:w="120"/>
            </w:tcMar>
            <w:vAlign w:val="center"/>
          </w:tcPr>
          <w:p>
            <w:pPr>
              <w:pStyle w:val="MdTableCell"/>
              <w:jc w:val="left"/>
            </w:pPr>
            <w:r>
              <w:t xml:space="preserve">+100.0%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Battery Management Systems</w:t>
            </w:r>
          </w:p>
        </w:tc>
        <w:tc>
          <w:tcPr>
            <w:tcMar>
              <w:top w:type="dxa" w:w="80"/>
              <w:left w:type="dxa" w:w="120"/>
              <w:bottom w:type="dxa" w:w="80"/>
              <w:right w:type="dxa" w:w="120"/>
            </w:tcMar>
            <w:vAlign w:val="center"/>
          </w:tcPr>
          <w:p>
            <w:pPr>
              <w:pStyle w:val="MdTableCell"/>
              <w:jc w:val="left"/>
            </w:pPr>
            <w:r>
              <w:t xml:space="preserve">Ag</w:t>
            </w:r>
          </w:p>
        </w:tc>
        <w:tc>
          <w:tcPr>
            <w:tcMar>
              <w:top w:type="dxa" w:w="80"/>
              <w:left w:type="dxa" w:w="120"/>
              <w:bottom w:type="dxa" w:w="80"/>
              <w:right w:type="dxa" w:w="120"/>
            </w:tcMar>
            <w:vAlign w:val="center"/>
          </w:tcPr>
          <w:p>
            <w:pPr>
              <w:pStyle w:val="MdTableCell"/>
              <w:jc w:val="left"/>
            </w:pPr>
            <w:r>
              <w:t xml:space="preserve">0.20</w:t>
            </w:r>
          </w:p>
        </w:tc>
        <w:tc>
          <w:tcPr>
            <w:tcMar>
              <w:top w:type="dxa" w:w="80"/>
              <w:left w:type="dxa" w:w="120"/>
              <w:bottom w:type="dxa" w:w="80"/>
              <w:right w:type="dxa" w:w="120"/>
            </w:tcMar>
            <w:vAlign w:val="center"/>
          </w:tcPr>
          <w:p>
            <w:pPr>
              <w:pStyle w:val="MdTableCell"/>
              <w:jc w:val="left"/>
            </w:pPr>
            <w:r>
              <w:t xml:space="preserve">0.15</w:t>
            </w:r>
          </w:p>
        </w:tc>
        <w:tc>
          <w:tcPr>
            <w:tcBorders>
              <w:right w:val="none"/>
            </w:tcBorders>
            <w:tcMar>
              <w:top w:type="dxa" w:w="80"/>
              <w:left w:type="dxa" w:w="120"/>
              <w:bottom w:type="dxa" w:w="80"/>
              <w:right w:type="dxa" w:w="120"/>
            </w:tcMar>
            <w:vAlign w:val="center"/>
          </w:tcPr>
          <w:p>
            <w:pPr>
              <w:pStyle w:val="MdTableCell"/>
              <w:jc w:val="left"/>
            </w:pPr>
            <w:r>
              <w:t xml:space="preserve">+33.3%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Battery Management Systems</w:t>
            </w:r>
          </w:p>
        </w:tc>
        <w:tc>
          <w:tcPr>
            <w:tcMar>
              <w:top w:type="dxa" w:w="80"/>
              <w:left w:type="dxa" w:w="120"/>
              <w:bottom w:type="dxa" w:w="80"/>
              <w:right w:type="dxa" w:w="120"/>
            </w:tcMar>
            <w:vAlign w:val="center"/>
          </w:tcPr>
          <w:p>
            <w:pPr>
              <w:pStyle w:val="MdTableCell"/>
              <w:jc w:val="left"/>
            </w:pPr>
            <w:r>
              <w:t xml:space="preserve">Pb</w:t>
            </w:r>
          </w:p>
        </w:tc>
        <w:tc>
          <w:tcPr>
            <w:tcMar>
              <w:top w:type="dxa" w:w="80"/>
              <w:left w:type="dxa" w:w="120"/>
              <w:bottom w:type="dxa" w:w="80"/>
              <w:right w:type="dxa" w:w="120"/>
            </w:tcMar>
            <w:vAlign w:val="center"/>
          </w:tcPr>
          <w:p>
            <w:pPr>
              <w:pStyle w:val="MdTableCell"/>
              <w:jc w:val="left"/>
            </w:pPr>
            <w:r>
              <w:t xml:space="preserve">0.80</w:t>
            </w:r>
          </w:p>
        </w:tc>
        <w:tc>
          <w:tcPr>
            <w:tcMar>
              <w:top w:type="dxa" w:w="80"/>
              <w:left w:type="dxa" w:w="120"/>
              <w:bottom w:type="dxa" w:w="80"/>
              <w:right w:type="dxa" w:w="120"/>
            </w:tcMar>
            <w:vAlign w:val="center"/>
          </w:tcPr>
          <w:p>
            <w:pPr>
              <w:pStyle w:val="MdTableCell"/>
              <w:jc w:val="left"/>
            </w:pPr>
            <w:r>
              <w:t xml:space="preserve">0.40</w:t>
            </w:r>
          </w:p>
        </w:tc>
        <w:tc>
          <w:tcPr>
            <w:tcBorders>
              <w:right w:val="none"/>
            </w:tcBorders>
            <w:tcMar>
              <w:top w:type="dxa" w:w="80"/>
              <w:left w:type="dxa" w:w="120"/>
              <w:bottom w:type="dxa" w:w="80"/>
              <w:right w:type="dxa" w:w="120"/>
            </w:tcMar>
            <w:vAlign w:val="center"/>
          </w:tcPr>
          <w:p>
            <w:pPr>
              <w:pStyle w:val="MdTableCell"/>
              <w:jc w:val="left"/>
            </w:pPr>
            <w:r>
              <w:t xml:space="preserve">+100.0%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Battery Management Systems</w:t>
            </w:r>
          </w:p>
        </w:tc>
        <w:tc>
          <w:tcPr>
            <w:tcMar>
              <w:top w:type="dxa" w:w="80"/>
              <w:left w:type="dxa" w:w="120"/>
              <w:bottom w:type="dxa" w:w="80"/>
              <w:right w:type="dxa" w:w="120"/>
            </w:tcMar>
            <w:vAlign w:val="center"/>
          </w:tcPr>
          <w:p>
            <w:pPr>
              <w:pStyle w:val="MdTableCell"/>
              <w:jc w:val="left"/>
            </w:pPr>
            <w:r>
              <w:t xml:space="preserve">Pd</w:t>
            </w:r>
          </w:p>
        </w:tc>
        <w:tc>
          <w:tcPr>
            <w:tcMar>
              <w:top w:type="dxa" w:w="80"/>
              <w:left w:type="dxa" w:w="120"/>
              <w:bottom w:type="dxa" w:w="80"/>
              <w:right w:type="dxa" w:w="120"/>
            </w:tcMar>
            <w:vAlign w:val="center"/>
          </w:tcPr>
          <w:p>
            <w:pPr>
              <w:pStyle w:val="MdTableCell"/>
              <w:jc w:val="left"/>
            </w:pPr>
            <w:r>
              <w:t xml:space="preserve">0.008</w:t>
            </w:r>
          </w:p>
        </w:tc>
        <w:tc>
          <w:tcPr>
            <w:tcMar>
              <w:top w:type="dxa" w:w="80"/>
              <w:left w:type="dxa" w:w="120"/>
              <w:bottom w:type="dxa" w:w="80"/>
              <w:right w:type="dxa" w:w="120"/>
            </w:tcMar>
            <w:vAlign w:val="center"/>
          </w:tcPr>
          <w:p>
            <w:pPr>
              <w:pStyle w:val="MdTableCell"/>
              <w:jc w:val="left"/>
            </w:pPr>
            <w:r>
              <w:t xml:space="preserve">0.005</w:t>
            </w:r>
          </w:p>
        </w:tc>
        <w:tc>
          <w:tcPr>
            <w:tcBorders>
              <w:right w:val="none"/>
            </w:tcBorders>
            <w:tcMar>
              <w:top w:type="dxa" w:w="80"/>
              <w:left w:type="dxa" w:w="120"/>
              <w:bottom w:type="dxa" w:w="80"/>
              <w:right w:type="dxa" w:w="120"/>
            </w:tcMar>
            <w:vAlign w:val="center"/>
          </w:tcPr>
          <w:p>
            <w:pPr>
              <w:pStyle w:val="MdTableCell"/>
              <w:jc w:val="left"/>
            </w:pPr>
            <w:r>
              <w:t xml:space="preserve">+60.0%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Vehicle Control &amp; Computing</w:t>
            </w:r>
          </w:p>
        </w:tc>
        <w:tc>
          <w:tcPr>
            <w:tcMar>
              <w:top w:type="dxa" w:w="80"/>
              <w:left w:type="dxa" w:w="120"/>
              <w:bottom w:type="dxa" w:w="80"/>
              <w:right w:type="dxa" w:w="120"/>
            </w:tcMar>
            <w:vAlign w:val="center"/>
          </w:tcPr>
          <w:p>
            <w:pPr>
              <w:pStyle w:val="MdTableCell"/>
              <w:jc w:val="left"/>
            </w:pPr>
            <w:r>
              <w:t xml:space="preserve">Pb</w:t>
            </w:r>
          </w:p>
        </w:tc>
        <w:tc>
          <w:tcPr>
            <w:tcMar>
              <w:top w:type="dxa" w:w="80"/>
              <w:left w:type="dxa" w:w="120"/>
              <w:bottom w:type="dxa" w:w="80"/>
              <w:right w:type="dxa" w:w="120"/>
            </w:tcMar>
            <w:vAlign w:val="center"/>
          </w:tcPr>
          <w:p>
            <w:pPr>
              <w:pStyle w:val="MdTableCell"/>
              <w:jc w:val="left"/>
            </w:pPr>
            <w:r>
              <w:t xml:space="preserve">0.50</w:t>
            </w:r>
          </w:p>
        </w:tc>
        <w:tc>
          <w:tcPr>
            <w:tcMar>
              <w:top w:type="dxa" w:w="80"/>
              <w:left w:type="dxa" w:w="120"/>
              <w:bottom w:type="dxa" w:w="80"/>
              <w:right w:type="dxa" w:w="120"/>
            </w:tcMar>
            <w:vAlign w:val="center"/>
          </w:tcPr>
          <w:p>
            <w:pPr>
              <w:pStyle w:val="MdTableCell"/>
              <w:jc w:val="left"/>
            </w:pPr>
            <w:r>
              <w:t xml:space="preserve">0.30</w:t>
            </w:r>
          </w:p>
        </w:tc>
        <w:tc>
          <w:tcPr>
            <w:tcBorders>
              <w:right w:val="none"/>
            </w:tcBorders>
            <w:tcMar>
              <w:top w:type="dxa" w:w="80"/>
              <w:left w:type="dxa" w:w="120"/>
              <w:bottom w:type="dxa" w:w="80"/>
              <w:right w:type="dxa" w:w="120"/>
            </w:tcMar>
            <w:vAlign w:val="center"/>
          </w:tcPr>
          <w:p>
            <w:pPr>
              <w:pStyle w:val="MdTableCell"/>
              <w:jc w:val="left"/>
            </w:pPr>
            <w:r>
              <w:t xml:space="preserve">+66.7%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Vehicle Control &amp; Computing</w:t>
            </w:r>
          </w:p>
        </w:tc>
        <w:tc>
          <w:tcPr>
            <w:tcMar>
              <w:top w:type="dxa" w:w="80"/>
              <w:left w:type="dxa" w:w="120"/>
              <w:bottom w:type="dxa" w:w="80"/>
              <w:right w:type="dxa" w:w="120"/>
            </w:tcMar>
            <w:vAlign w:val="center"/>
          </w:tcPr>
          <w:p>
            <w:pPr>
              <w:pStyle w:val="MdTableCell"/>
              <w:jc w:val="left"/>
            </w:pPr>
            <w:r>
              <w:t xml:space="preserve">Zn</w:t>
            </w:r>
          </w:p>
        </w:tc>
        <w:tc>
          <w:tcPr>
            <w:tcMar>
              <w:top w:type="dxa" w:w="80"/>
              <w:left w:type="dxa" w:w="120"/>
              <w:bottom w:type="dxa" w:w="80"/>
              <w:right w:type="dxa" w:w="120"/>
            </w:tcMar>
            <w:vAlign w:val="center"/>
          </w:tcPr>
          <w:p>
            <w:pPr>
              <w:pStyle w:val="MdTableCell"/>
              <w:jc w:val="left"/>
            </w:pPr>
            <w:r>
              <w:t xml:space="preserve">0.20</w:t>
            </w:r>
          </w:p>
        </w:tc>
        <w:tc>
          <w:tcPr>
            <w:tcMar>
              <w:top w:type="dxa" w:w="80"/>
              <w:left w:type="dxa" w:w="120"/>
              <w:bottom w:type="dxa" w:w="80"/>
              <w:right w:type="dxa" w:w="120"/>
            </w:tcMar>
            <w:vAlign w:val="center"/>
          </w:tcPr>
          <w:p>
            <w:pPr>
              <w:pStyle w:val="MdTableCell"/>
              <w:jc w:val="left"/>
            </w:pPr>
            <w:r>
              <w:t xml:space="preserve">0.15</w:t>
            </w:r>
          </w:p>
        </w:tc>
        <w:tc>
          <w:tcPr>
            <w:tcBorders>
              <w:right w:val="none"/>
            </w:tcBorders>
            <w:tcMar>
              <w:top w:type="dxa" w:w="80"/>
              <w:left w:type="dxa" w:w="120"/>
              <w:bottom w:type="dxa" w:w="80"/>
              <w:right w:type="dxa" w:w="120"/>
            </w:tcMar>
            <w:vAlign w:val="center"/>
          </w:tcPr>
          <w:p>
            <w:pPr>
              <w:pStyle w:val="MdTableCell"/>
              <w:jc w:val="left"/>
            </w:pPr>
            <w:r>
              <w:t xml:space="preserve">+33.3%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Infotainment &amp; Communication</w:t>
            </w:r>
          </w:p>
        </w:tc>
        <w:tc>
          <w:tcPr>
            <w:tcMar>
              <w:top w:type="dxa" w:w="80"/>
              <w:left w:type="dxa" w:w="120"/>
              <w:bottom w:type="dxa" w:w="80"/>
              <w:right w:type="dxa" w:w="120"/>
            </w:tcMar>
            <w:vAlign w:val="center"/>
          </w:tcPr>
          <w:p>
            <w:pPr>
              <w:pStyle w:val="MdTableCell"/>
              <w:jc w:val="left"/>
            </w:pPr>
            <w:r>
              <w:t xml:space="preserve">Pb</w:t>
            </w:r>
          </w:p>
        </w:tc>
        <w:tc>
          <w:tcPr>
            <w:tcMar>
              <w:top w:type="dxa" w:w="80"/>
              <w:left w:type="dxa" w:w="120"/>
              <w:bottom w:type="dxa" w:w="80"/>
              <w:right w:type="dxa" w:w="120"/>
            </w:tcMar>
            <w:vAlign w:val="center"/>
          </w:tcPr>
          <w:p>
            <w:pPr>
              <w:pStyle w:val="MdTableCell"/>
              <w:jc w:val="left"/>
            </w:pPr>
            <w:r>
              <w:t xml:space="preserve">0.30</w:t>
            </w:r>
          </w:p>
        </w:tc>
        <w:tc>
          <w:tcPr>
            <w:tcMar>
              <w:top w:type="dxa" w:w="80"/>
              <w:left w:type="dxa" w:w="120"/>
              <w:bottom w:type="dxa" w:w="80"/>
              <w:right w:type="dxa" w:w="120"/>
            </w:tcMar>
            <w:vAlign w:val="center"/>
          </w:tcPr>
          <w:p>
            <w:pPr>
              <w:pStyle w:val="MdTableCell"/>
              <w:jc w:val="left"/>
            </w:pPr>
            <w:r>
              <w:t xml:space="preserve">0.20</w:t>
            </w:r>
          </w:p>
        </w:tc>
        <w:tc>
          <w:tcPr>
            <w:tcBorders>
              <w:right w:val="none"/>
            </w:tcBorders>
            <w:tcMar>
              <w:top w:type="dxa" w:w="80"/>
              <w:left w:type="dxa" w:w="120"/>
              <w:bottom w:type="dxa" w:w="80"/>
              <w:right w:type="dxa" w:w="120"/>
            </w:tcMar>
            <w:vAlign w:val="center"/>
          </w:tcPr>
          <w:p>
            <w:pPr>
              <w:pStyle w:val="MdTableCell"/>
              <w:jc w:val="left"/>
            </w:pPr>
            <w:r>
              <w:t xml:space="preserve">+50.0%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Infotainment &amp; Communication</w:t>
            </w:r>
          </w:p>
        </w:tc>
        <w:tc>
          <w:tcPr>
            <w:tcMar>
              <w:top w:type="dxa" w:w="80"/>
              <w:left w:type="dxa" w:w="120"/>
              <w:bottom w:type="dxa" w:w="80"/>
              <w:right w:type="dxa" w:w="120"/>
            </w:tcMar>
            <w:vAlign w:val="center"/>
          </w:tcPr>
          <w:p>
            <w:pPr>
              <w:pStyle w:val="MdTableCell"/>
              <w:jc w:val="left"/>
            </w:pPr>
            <w:r>
              <w:t xml:space="preserve">Al</w:t>
            </w:r>
          </w:p>
        </w:tc>
        <w:tc>
          <w:tcPr>
            <w:tcMar>
              <w:top w:type="dxa" w:w="80"/>
              <w:left w:type="dxa" w:w="120"/>
              <w:bottom w:type="dxa" w:w="80"/>
              <w:right w:type="dxa" w:w="120"/>
            </w:tcMar>
            <w:vAlign w:val="center"/>
          </w:tcPr>
          <w:p>
            <w:pPr>
              <w:pStyle w:val="MdTableCell"/>
              <w:jc w:val="left"/>
            </w:pPr>
            <w:r>
              <w:t xml:space="preserve">2.00</w:t>
            </w:r>
          </w:p>
        </w:tc>
        <w:tc>
          <w:tcPr>
            <w:tcMar>
              <w:top w:type="dxa" w:w="80"/>
              <w:left w:type="dxa" w:w="120"/>
              <w:bottom w:type="dxa" w:w="80"/>
              <w:right w:type="dxa" w:w="120"/>
            </w:tcMar>
            <w:vAlign w:val="center"/>
          </w:tcPr>
          <w:p>
            <w:pPr>
              <w:pStyle w:val="MdTableCell"/>
              <w:jc w:val="left"/>
            </w:pPr>
            <w:r>
              <w:t xml:space="preserve">1.50</w:t>
            </w:r>
          </w:p>
        </w:tc>
        <w:tc>
          <w:tcPr>
            <w:tcBorders>
              <w:right w:val="none"/>
            </w:tcBorders>
            <w:tcMar>
              <w:top w:type="dxa" w:w="80"/>
              <w:left w:type="dxa" w:w="120"/>
              <w:bottom w:type="dxa" w:w="80"/>
              <w:right w:type="dxa" w:w="120"/>
            </w:tcMar>
            <w:vAlign w:val="center"/>
          </w:tcPr>
          <w:p>
            <w:pPr>
              <w:pStyle w:val="MdTableCell"/>
              <w:jc w:val="left"/>
            </w:pPr>
            <w:r>
              <w:t xml:space="preserve">+33.3%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Infotainment &amp; Communication</w:t>
            </w:r>
          </w:p>
        </w:tc>
        <w:tc>
          <w:tcPr>
            <w:tcMar>
              <w:top w:type="dxa" w:w="80"/>
              <w:left w:type="dxa" w:w="120"/>
              <w:bottom w:type="dxa" w:w="80"/>
              <w:right w:type="dxa" w:w="120"/>
            </w:tcMar>
            <w:vAlign w:val="center"/>
          </w:tcPr>
          <w:p>
            <w:pPr>
              <w:pStyle w:val="MdTableCell"/>
              <w:jc w:val="left"/>
            </w:pPr>
            <w:r>
              <w:t xml:space="preserve">Zn</w:t>
            </w:r>
          </w:p>
        </w:tc>
        <w:tc>
          <w:tcPr>
            <w:tcMar>
              <w:top w:type="dxa" w:w="80"/>
              <w:left w:type="dxa" w:w="120"/>
              <w:bottom w:type="dxa" w:w="80"/>
              <w:right w:type="dxa" w:w="120"/>
            </w:tcMar>
            <w:vAlign w:val="center"/>
          </w:tcPr>
          <w:p>
            <w:pPr>
              <w:pStyle w:val="MdTableCell"/>
              <w:jc w:val="left"/>
            </w:pPr>
            <w:r>
              <w:t xml:space="preserve">0.15</w:t>
            </w:r>
          </w:p>
        </w:tc>
        <w:tc>
          <w:tcPr>
            <w:tcMar>
              <w:top w:type="dxa" w:w="80"/>
              <w:left w:type="dxa" w:w="120"/>
              <w:bottom w:type="dxa" w:w="80"/>
              <w:right w:type="dxa" w:w="120"/>
            </w:tcMar>
            <w:vAlign w:val="center"/>
          </w:tcPr>
          <w:p>
            <w:pPr>
              <w:pStyle w:val="MdTableCell"/>
              <w:jc w:val="left"/>
            </w:pPr>
            <w:r>
              <w:t xml:space="preserve">0.10</w:t>
            </w:r>
          </w:p>
        </w:tc>
        <w:tc>
          <w:tcPr>
            <w:tcBorders>
              <w:right w:val="none"/>
            </w:tcBorders>
            <w:tcMar>
              <w:top w:type="dxa" w:w="80"/>
              <w:left w:type="dxa" w:w="120"/>
              <w:bottom w:type="dxa" w:w="80"/>
              <w:right w:type="dxa" w:w="120"/>
            </w:tcMar>
            <w:vAlign w:val="center"/>
          </w:tcPr>
          <w:p>
            <w:pPr>
              <w:pStyle w:val="MdTableCell"/>
              <w:jc w:val="left"/>
            </w:pPr>
            <w:r>
              <w:t xml:space="preserve">+50.0%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Safety &amp; Sensor Systems</w:t>
            </w:r>
          </w:p>
        </w:tc>
        <w:tc>
          <w:tcPr>
            <w:tcBorders>
              <w:bottom w:val="single" w:color="E1E4E8" w:sz="4"/>
            </w:tcBorders>
            <w:tcMar>
              <w:top w:type="dxa" w:w="80"/>
              <w:left w:type="dxa" w:w="120"/>
              <w:bottom w:type="dxa" w:w="80"/>
              <w:right w:type="dxa" w:w="120"/>
            </w:tcMar>
            <w:vAlign w:val="center"/>
          </w:tcPr>
          <w:p>
            <w:pPr>
              <w:pStyle w:val="MdTableCell"/>
              <w:jc w:val="left"/>
            </w:pPr>
            <w:r>
              <w:t xml:space="preserve">Pb</w:t>
            </w:r>
          </w:p>
        </w:tc>
        <w:tc>
          <w:tcPr>
            <w:tcBorders>
              <w:bottom w:val="single" w:color="E1E4E8" w:sz="4"/>
            </w:tcBorders>
            <w:tcMar>
              <w:top w:type="dxa" w:w="80"/>
              <w:left w:type="dxa" w:w="120"/>
              <w:bottom w:type="dxa" w:w="80"/>
              <w:right w:type="dxa" w:w="120"/>
            </w:tcMar>
            <w:vAlign w:val="center"/>
          </w:tcPr>
          <w:p>
            <w:pPr>
              <w:pStyle w:val="MdTableCell"/>
              <w:jc w:val="left"/>
            </w:pPr>
            <w:r>
              <w:t xml:space="preserve">0.60</w:t>
            </w:r>
          </w:p>
        </w:tc>
        <w:tc>
          <w:tcPr>
            <w:tcBorders>
              <w:bottom w:val="single" w:color="E1E4E8" w:sz="4"/>
            </w:tcBorders>
            <w:tcMar>
              <w:top w:type="dxa" w:w="80"/>
              <w:left w:type="dxa" w:w="120"/>
              <w:bottom w:type="dxa" w:w="80"/>
              <w:right w:type="dxa" w:w="120"/>
            </w:tcMar>
            <w:vAlign w:val="center"/>
          </w:tcPr>
          <w:p>
            <w:pPr>
              <w:pStyle w:val="MdTableCell"/>
              <w:jc w:val="left"/>
            </w:pPr>
            <w:r>
              <w:t xml:space="preserve">0.40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+50.0%</w:t>
            </w:r>
          </w:p>
        </w:tc>
      </w:tr>
    </w:tbl>
    <w:p>
      <w:pPr>
        <w:pStyle w:val="Heading3"/>
        <w:pStyle w:val="MdHeading3"/>
      </w:pPr>
      <w:r>
        <w:t xml:space="preserve">Analyse der Abweichungen</w:t>
      </w:r>
    </w:p>
    <w:p>
      <w:pPr>
        <w:pStyle w:val="MdListItem"/>
        <w:numPr>
          <w:ilvl w:val="0"/>
          <w:numId w:val="2"/>
        </w:numPr>
      </w:pPr>
      <w:r>
        <w:rPr>
          <w:rStyle w:val="MdStrong"/>
          <w:b/>
          <w:bCs/>
        </w:rPr>
        <w:t xml:space="preserve">Blei (Pb):</w:t>
      </w:r>
      <w:r>
        <w:t xml:space="preserve"> Ihre Werte für Blei sind durchweg signifikant höher als die in modernen, RoHS-konformen PCBs erwarteten Werte. Seit der RoHS-Richtlinie wird Blei in den meisten Loten durch Zinn-Silber-Kupfer-Legierungen (SAC) ersetzt. Hohe Bleiwerte könnten auf ältere Technologien oder spezifische Ausnahmeanwendungen (z.B. in Hochtemperatur-Loten) hindeuten. Ich empfehle, diese Werte zu überprüfen und gegebenenfalls auf </w:t>
      </w:r>
      <w:r>
        <w:rPr>
          <w:rStyle w:val="MdStrong"/>
          <w:b/>
          <w:bCs/>
        </w:rPr>
        <w:t xml:space="preserve">0.2 - 0.5 mg/cm²</w:t>
      </w:r>
      <w:r>
        <w:t xml:space="preserve"> zu reduzieren, um den aktuellen Industriestandards besser zu entsprechen [2].</w:t>
      </w:r>
    </w:p>
    <w:p>
      <w:pPr>
        <w:pStyle w:val="MdListItem"/>
        <w:numPr>
          <w:ilvl w:val="0"/>
          <w:numId w:val="2"/>
        </w:numPr>
      </w:pPr>
      <w:r>
        <w:rPr>
          <w:rStyle w:val="MdStrong"/>
          <w:b/>
          <w:bCs/>
        </w:rPr>
        <w:t xml:space="preserve">Gold (Au) und Palladium (Pd):</w:t>
      </w:r>
      <w:r>
        <w:t xml:space="preserve"> Ihre Werte für Gold in der Leistungselektronik und Palladium im BMS sind leicht erhöht. Dies könnte auf eine hochwertige Auslegung zur Sicherstellung von Langlebigkeit und Korrosionsbeständigkeit hindeuten, ist aber im oberen Bereich des Üblichen. Die angegebenen Werte sind plausibel, wenn eine hohe Zuverlässigkeit gefordert ist.</w:t>
      </w:r>
    </w:p>
    <w:p>
      <w:pPr>
        <w:pStyle w:val="MdListItem"/>
        <w:numPr>
          <w:ilvl w:val="0"/>
          <w:numId w:val="2"/>
        </w:numPr>
      </w:pPr>
      <w:r>
        <w:rPr>
          <w:rStyle w:val="MdStrong"/>
          <w:b/>
          <w:bCs/>
        </w:rPr>
        <w:t xml:space="preserve">Andere Metalle (Ag, Al, Zn):</w:t>
      </w:r>
      <w:r>
        <w:t xml:space="preserve"> Die Abweichungen bei Silber, Aluminium und Zink sind moderat und können durch Design-spezifische Entscheidungen (z.B. größere Kühlkörper für Aluminium, spezifische Beschichtungen für Zink) erklärt werden. Sie liegen innerhalb eines akzeptablen Bereichs.</w:t>
      </w:r>
    </w:p>
    <w:p>
      <w:pPr>
        <w:pStyle w:val="MdSpace"/>
        <w:spacing w:before="0" w:after="60"/>
      </w:pPr>
    </w:p>
    <w:p>
      <w:pPr>
        <w:pStyle w:val="Heading2"/>
        <w:pStyle w:val="MdHeading2"/>
      </w:pPr>
      <w:r>
        <w:t xml:space="preserve">3. Referenzen</w:t>
      </w:r>
    </w:p>
    <w:p>
      <w:pPr>
        <w:pStyle w:val="MdParagraph"/>
      </w:pPr>
      <w:r>
        <w:t xml:space="preserve">Meine Analyse stützt sich auf die folgenden Quellen, die als anerkannte Referenzen im Bereich der Materialzusammensetzung von Fahrzeugelektronik gelten:</w:t>
      </w:r>
    </w:p>
    <w:p>
      <w:pPr>
        <w:pStyle w:val="MdSpace"/>
        <w:spacing w:before="0" w:after="60"/>
      </w:pPr>
    </w:p>
    <w:p>
      <w:pPr>
        <w:pStyle w:val="MdParagraph"/>
      </w:pPr>
      <w:r>
        <w:t xml:space="preserve">[1] Løvik, A. N., et al. (2021). </w:t>
      </w:r>
      <w:r>
        <w:rPr>
          <w:rStyle w:val="MdEm"/>
          <w:i/>
          <w:iCs/>
        </w:rPr>
        <w:t xml:space="preserve">Material composition trends in vehicles: critical raw materials and other relevant metals</w:t>
      </w:r>
      <w:r>
        <w:t xml:space="preserve">. JRC Technical Report, Joint Research Centre, European Commission.</w:t>
      </w:r>
    </w:p>
    <w:p>
      <w:pPr>
        <w:pStyle w:val="MdSpace"/>
        <w:spacing w:before="0" w:after="60"/>
      </w:pPr>
    </w:p>
    <w:p>
      <w:pPr>
        <w:pStyle w:val="MdParagraph"/>
      </w:pPr>
      <w:r>
        <w:t xml:space="preserve">[2] Bizzo, W. A., et al. (2014). </w:t>
      </w:r>
      <w:r>
        <w:rPr>
          <w:rStyle w:val="MdEm"/>
          <w:i/>
          <w:iCs/>
        </w:rPr>
        <w:t xml:space="preserve">Characterization of Printed Circuit Boards for Metal and Energy Recovery</w:t>
      </w:r>
      <w:r>
        <w:t xml:space="preserve">. Journal of Environmental Management.</w:t>
      </w:r>
    </w:p>
    <w:p>
      <w:pPr>
        <w:pStyle w:val="MdSpace"/>
        <w:spacing w:before="0" w:after="60"/>
      </w:pPr>
    </w:p>
    <w:p>
      <w:pPr>
        <w:pStyle w:val="MdParagraph"/>
      </w:pPr>
      <w:r>
        <w:t xml:space="preserve">[3] Nguyen, R. T., et al. (2020). </w:t>
      </w:r>
      <w:r>
        <w:rPr>
          <w:rStyle w:val="MdEm"/>
          <w:i/>
          <w:iCs/>
        </w:rPr>
        <w:t xml:space="preserve">Critical material content in modern US vehicle electronics</w:t>
      </w:r>
      <w:r>
        <w:t xml:space="preserve">. Oak Ridge National Laboratory.</w:t>
      </w:r>
    </w:p>
    <w:p>
      <w:pPr>
        <w:pStyle w:val="MdSpace"/>
        <w:spacing w:before="0" w:after="60"/>
      </w:pPr>
    </w:p>
    <w:p>
      <w:pPr>
        <w:pStyle w:val="Heading2"/>
        <w:pStyle w:val="MdHeading2"/>
      </w:pPr>
      <w:r>
        <w:t xml:space="preserve">Fazit und Empfehlungen</w:t>
      </w:r>
    </w:p>
    <w:p>
      <w:pPr>
        <w:pStyle w:val="MdListItem"/>
        <w:numPr>
          <w:ilvl w:val="0"/>
          <w:numId w:val="3"/>
        </w:numPr>
      </w:pPr>
      <w:r>
        <w:rPr>
          <w:rStyle w:val="MdStrong"/>
          <w:b/>
          <w:bCs/>
        </w:rPr>
        <w:t xml:space="preserve">Gruppierung beibehalten:</w:t>
      </w:r>
      <w:r>
        <w:t xml:space="preserve"> Ihre PCB-Gruppierung ist logisch und erfordert keine unmittelbaren Änderungen.</w:t>
      </w:r>
    </w:p>
    <w:p>
      <w:pPr>
        <w:pStyle w:val="MdListItem"/>
        <w:numPr>
          <w:ilvl w:val="0"/>
          <w:numId w:val="3"/>
        </w:numPr>
      </w:pPr>
      <w:r>
        <w:rPr>
          <w:rStyle w:val="MdStrong"/>
          <w:b/>
          <w:bCs/>
        </w:rPr>
        <w:t xml:space="preserve">Bleiwerte anpassen:</w:t>
      </w:r>
      <w:r>
        <w:t xml:space="preserve"> Überprüfen Sie die hohen Bleiwerte kritisch. Eine Reduzierung auf Werte zwischen </w:t>
      </w:r>
      <w:r>
        <w:rPr>
          <w:rStyle w:val="MdStrong"/>
          <w:b/>
          <w:bCs/>
        </w:rPr>
        <w:t xml:space="preserve">0.2 und 0.5 mg/cm²</w:t>
      </w:r>
      <w:r>
        <w:t xml:space="preserve"> würde die Zusammensetzung moderner, bleifreier PCBs besser widerspiegeln.</w:t>
      </w:r>
    </w:p>
    <w:p>
      <w:pPr>
        <w:pStyle w:val="MdListItem"/>
        <w:numPr>
          <w:ilvl w:val="0"/>
          <w:numId w:val="3"/>
        </w:numPr>
      </w:pPr>
      <w:r>
        <w:rPr>
          <w:rStyle w:val="MdStrong"/>
          <w:b/>
          <w:bCs/>
        </w:rPr>
        <w:t xml:space="preserve">Edelmetallwerte validieren:</w:t>
      </w:r>
      <w:r>
        <w:t xml:space="preserve"> Die leicht erhöhten Gold- und Palladiumwerte sind plausibel, sollten aber als Indikator für eine qualitativ hochwertige Auslegung verstanden werden.</w:t>
      </w:r>
    </w:p>
    <w:p>
      <w:pPr>
        <w:pStyle w:val="MdSpace"/>
        <w:spacing w:before="0" w:after="60"/>
      </w:pPr>
    </w:p>
    <w:p>
      <w:pPr>
        <w:pStyle w:val="MdParagraph"/>
      </w:pPr>
      <w:r>
        <w:t xml:space="preserve">Ich hoffe, diese detaillierte Analyse ist für Sie hilfreich. Die Ergebnisse wurden in der beigefügten Markdown-Datei zusammengefasst.</w:t>
      </w:r>
    </w:p>
    <w:p>
      <w:pPr>
        <w:pStyle w:val="MdSpace"/>
        <w:spacing w:before="0" w:after="60"/>
      </w:pPr>
    </w:p>
    <w:p>
      <w:pPr>
        <w:pStyle w:val="MdParagraph"/>
      </w:pPr>
      <w:r>
        <w:t xml:space="preserve">Mit freundlichen Grüßen,</w:t>
      </w:r>
    </w:p>
    <w:p>
      <w:pPr>
        <w:pStyle w:val="MdSpace"/>
        <w:spacing w:before="0" w:after="60"/>
      </w:pPr>
    </w:p>
    <w:p>
      <w:pPr>
        <w:pStyle w:val="MdParagraph"/>
      </w:pPr>
      <w:r>
        <w:t xml:space="preserve">Manus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2026-02-05T12:53:10.027Z</dcterms:created>
  <dcterms:modified xsi:type="dcterms:W3CDTF">2026-02-05T12:53:10.027Z</dcterms:modified>
</cp:coreProperties>
</file>

<file path=docProps/custom.xml><?xml version="1.0" encoding="utf-8"?>
<Properties xmlns="http://schemas.openxmlformats.org/officeDocument/2006/custom-properties" xmlns:vt="http://schemas.openxmlformats.org/officeDocument/2006/docPropsVTypes"/>
</file>