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Jobs and their tasks</w:t>
      </w:r>
    </w:p>
    <w:p>
      <w:r>
        <w:rPr>
          <w:b w:val="0"/>
        </w:rPr>
        <w:t>Week beginning 9 November 2026 · one 40-minute lesson</w:t>
      </w:r>
    </w:p>
    <w:p>
      <w:r>
        <w:rPr>
          <w:b w:val="0"/>
        </w:rPr>
        <w:t>Actual date __________________  Staff role ______________</w:t>
      </w:r>
    </w:p>
    <w:p>
      <w:r>
        <w:rPr>
          <w:b w:val="0"/>
        </w:rPr>
        <w:t>Year A · Term theme: Identity &amp; Belonging</w:t>
      </w:r>
    </w:p>
    <w:p>
      <w:r>
        <w:rPr>
          <w:b w:val="0"/>
          <w:sz w:val="19"/>
        </w:rPr>
        <w:t>Thread tags: SMSC S/So (M/C: none); British Values IL/MR (D/RL/T: none).</w:t>
      </w:r>
    </w:p>
    <w:p>
      <w:pPr>
        <w:pStyle w:val="Heading1"/>
      </w:pPr>
      <w:r>
        <w:rPr>
          <w:b w:val="0"/>
        </w:rPr>
        <w:t>Approved objective and source</w:t>
      </w:r>
    </w:p>
    <w:p>
      <w:r>
        <w:rPr>
          <w:b w:val="0"/>
        </w:rPr>
        <w:t>Match two job roles to the tasks people do.</w:t>
      </w:r>
    </w:p>
    <w:p>
      <w:r>
        <w:rPr>
          <w:b w:val="0"/>
          <w:sz w:val="19"/>
        </w:rPr>
        <w:t>Owner-approved standalone Careers outline, 26 October 2026. The combined workbook strand supplies context; it does not replace this approved weekly objective.</w:t>
      </w:r>
    </w:p>
    <w:p>
      <w:pPr>
        <w:pStyle w:val="Heading1"/>
      </w:pPr>
      <w:r>
        <w:rPr>
          <w:b w:val="0"/>
        </w:rPr>
        <w:t>Purpose and success checks</w:t>
      </w:r>
    </w:p>
    <w:p>
      <w:r>
        <w:rPr>
          <w:b w:val="0"/>
        </w:rPr>
        <w:t>What tasks do people do at work?</w:t>
      </w:r>
    </w:p>
    <w:p>
      <w:r>
        <w:rPr>
          <w:b w:val="0"/>
        </w:rPr>
        <w:t>I can match two jobs to tasks. I can choose a role to look at. I can give one reason for my choice.</w:t>
      </w:r>
    </w:p>
    <w:p>
      <w:r>
        <w:rPr>
          <w:b w:val="0"/>
          <w:sz w:val="19"/>
        </w:rPr>
        <w:t>CAREERS-BUILD-A2-W02-E1: Two recorded job-to-task matches and the learner’s reason, spoken, selected or written.</w:t>
      </w:r>
    </w:p>
    <w:p>
      <w:pPr>
        <w:pStyle w:val="Heading1"/>
      </w:pPr>
      <w:r>
        <w:rPr>
          <w:b w:val="0"/>
        </w:rPr>
        <w:t>Before pupils arrive</w:t>
      </w:r>
    </w:p>
    <w:p>
      <w:r>
        <w:t>Print both evidence pages and support pack for each learner. Cut the three picture role cards on page 1 and the six task cards on page 2; keep a spare role mat whole. Lay out the picture role cards for sorting, with a two-role choice ready for Supported. Use no live employer material or websites. Read all briefs before sorting. Use individual response records; solo or adult-supported work is available.</w:t>
      </w:r>
    </w:p>
    <w:p>
      <w:pPr>
        <w:pStyle w:val="Heading1"/>
      </w:pPr>
      <w:r>
        <w:rPr>
          <w:b w:val="0"/>
        </w:rPr>
        <w:t>Calendar and continuity</w:t>
      </w:r>
    </w:p>
    <w:p>
      <w:r>
        <w:rPr>
          <w:b w:val="0"/>
        </w:rPr>
        <w:t>Year A. Autumn 2 Week 2: 9–13 November 2026. One 40-minute Careers lesson. No day or clock slot is inferred. This lesson is formative. Week 7 is the assessing lesson.</w:t>
      </w:r>
    </w:p>
    <w:p>
      <w:pPr>
        <w:pStyle w:val="Heading1"/>
      </w:pPr>
      <w:r>
        <w:rPr>
          <w:b w:val="0"/>
        </w:rPr>
        <w:t>Where this leads</w:t>
      </w:r>
    </w:p>
    <w:p>
      <w:r>
        <w:rPr>
          <w:b w:val="0"/>
        </w:rPr>
        <w:t>This helps me find out what different jobs involve.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720"/>
        <w:gridCol w:w="648"/>
        <w:gridCol w:w="8568"/>
      </w:tblGrid>
      <w:tr>
        <w:trPr>
          <w:tblHeader/>
        </w:trPr>
        <w:tc>
          <w:tcPr>
            <w:tcW w:type="dxa" w:w="720"/>
          </w:tcPr>
          <w:p>
            <w:pPr>
              <w:spacing w:after="60" w:before="40"/>
            </w:pPr>
            <w:r>
              <w:rPr>
                <w:b/>
                <w:sz w:val="19"/>
              </w:rPr>
              <w:t>Slide</w:t>
            </w:r>
          </w:p>
        </w:tc>
        <w:tc>
          <w:tcPr>
            <w:tcW w:type="dxa" w:w="648"/>
          </w:tcPr>
          <w:p>
            <w:pPr>
              <w:spacing w:after="60" w:before="40"/>
            </w:pPr>
            <w:r>
              <w:rPr>
                <w:b/>
                <w:sz w:val="19"/>
              </w:rPr>
              <w:t>Min</w:t>
            </w:r>
          </w:p>
        </w:tc>
        <w:tc>
          <w:tcPr>
            <w:tcW w:type="dxa" w:w="8568"/>
          </w:tcPr>
          <w:p>
            <w:pPr>
              <w:spacing w:after="60" w:before="40"/>
            </w:pPr>
            <w:r>
              <w:rPr>
                <w:b/>
                <w:sz w:val="19"/>
              </w:rPr>
              <w:t>Action</w:t>
            </w:r>
          </w:p>
        </w:tc>
      </w:tr>
      <w:tr>
        <w:tc>
          <w:tcPr>
            <w:tcW w:type="dxa" w:w="720"/>
          </w:tcPr>
          <w:p>
            <w:pPr>
              <w:spacing w:after="60" w:before="40"/>
            </w:pPr>
            <w:r>
              <w:rPr>
                <w:b w:val="0"/>
                <w:sz w:val="19"/>
              </w:rPr>
              <w:t>1</w:t>
            </w:r>
          </w:p>
        </w:tc>
        <w:tc>
          <w:tcPr>
            <w:tcW w:type="dxa" w:w="648"/>
          </w:tcPr>
          <w:p>
            <w:pPr>
              <w:spacing w:after="60" w:before="40"/>
            </w:pPr>
            <w:r>
              <w:rPr>
                <w:b w:val="0"/>
                <w:sz w:val="19"/>
              </w:rPr>
              <w:t>0</w:t>
            </w:r>
          </w:p>
        </w:tc>
        <w:tc>
          <w:tcPr>
            <w:tcW w:type="dxa" w:w="8568"/>
          </w:tcPr>
          <w:p>
            <w:pPr>
              <w:spacing w:after="60" w:before="40"/>
            </w:pPr>
            <w:r>
              <w:rPr>
                <w:b w:val="0"/>
                <w:sz w:val="19"/>
              </w:rPr>
              <w:t>Open the title before the timed sequence.</w:t>
            </w:r>
          </w:p>
        </w:tc>
      </w:tr>
      <w:tr>
        <w:tc>
          <w:tcPr>
            <w:tcW w:type="dxa" w:w="720"/>
          </w:tcPr>
          <w:p>
            <w:pPr>
              <w:spacing w:after="60" w:before="40"/>
            </w:pPr>
            <w:r>
              <w:rPr>
                <w:b w:val="0"/>
                <w:sz w:val="19"/>
              </w:rPr>
              <w:t>2</w:t>
            </w:r>
          </w:p>
        </w:tc>
        <w:tc>
          <w:tcPr>
            <w:tcW w:type="dxa" w:w="648"/>
          </w:tcPr>
          <w:p>
            <w:pPr>
              <w:spacing w:after="60" w:before="40"/>
            </w:pPr>
            <w:r>
              <w:rPr>
                <w:b w:val="0"/>
                <w:sz w:val="19"/>
              </w:rPr>
              <w:t>3</w:t>
            </w:r>
          </w:p>
        </w:tc>
        <w:tc>
          <w:tcPr>
            <w:tcW w:type="dxa" w:w="8568"/>
          </w:tcPr>
          <w:p>
            <w:pPr>
              <w:spacing w:after="60" w:before="40"/>
            </w:pPr>
            <w:r>
              <w:rPr>
                <w:b w:val="0"/>
                <w:sz w:val="19"/>
              </w:rPr>
              <w:t>Calm arrival and support choice.</w:t>
            </w:r>
          </w:p>
        </w:tc>
      </w:tr>
      <w:tr>
        <w:tc>
          <w:tcPr>
            <w:tcW w:type="dxa" w:w="720"/>
          </w:tcPr>
          <w:p>
            <w:pPr>
              <w:spacing w:after="60" w:before="40"/>
            </w:pPr>
            <w:r>
              <w:rPr>
                <w:b w:val="0"/>
                <w:sz w:val="19"/>
              </w:rPr>
              <w:t>3</w:t>
            </w:r>
          </w:p>
        </w:tc>
        <w:tc>
          <w:tcPr>
            <w:tcW w:type="dxa" w:w="648"/>
          </w:tcPr>
          <w:p>
            <w:pPr>
              <w:spacing w:after="60" w:before="40"/>
            </w:pPr>
            <w:r>
              <w:rPr>
                <w:b w:val="0"/>
                <w:sz w:val="19"/>
              </w:rPr>
              <w:t>3</w:t>
            </w:r>
          </w:p>
        </w:tc>
        <w:tc>
          <w:tcPr>
            <w:tcW w:type="dxa" w:w="8568"/>
          </w:tcPr>
          <w:p>
            <w:pPr>
              <w:spacing w:after="60" w:before="40"/>
            </w:pPr>
            <w:r>
              <w:rPr>
                <w:b w:val="0"/>
                <w:sz w:val="19"/>
              </w:rPr>
              <w:t>Explore the fictional worker picture.</w:t>
            </w:r>
          </w:p>
        </w:tc>
      </w:tr>
      <w:tr>
        <w:tc>
          <w:tcPr>
            <w:tcW w:type="dxa" w:w="720"/>
          </w:tcPr>
          <w:p>
            <w:pPr>
              <w:spacing w:after="60" w:before="40"/>
            </w:pPr>
            <w:r>
              <w:rPr>
                <w:b w:val="0"/>
                <w:sz w:val="19"/>
              </w:rPr>
              <w:t>4</w:t>
            </w:r>
          </w:p>
        </w:tc>
        <w:tc>
          <w:tcPr>
            <w:tcW w:type="dxa" w:w="648"/>
          </w:tcPr>
          <w:p>
            <w:pPr>
              <w:spacing w:after="60" w:before="40"/>
            </w:pPr>
            <w:r>
              <w:rPr>
                <w:b w:val="0"/>
                <w:sz w:val="19"/>
              </w:rPr>
              <w:t>0</w:t>
            </w:r>
          </w:p>
        </w:tc>
        <w:tc>
          <w:tcPr>
            <w:tcW w:type="dxa" w:w="8568"/>
          </w:tcPr>
          <w:p>
            <w:pPr>
              <w:spacing w:after="60" w:before="40"/>
            </w:pPr>
            <w:r>
              <w:rPr>
                <w:b w:val="0"/>
                <w:sz w:val="19"/>
              </w:rPr>
              <w:t>Read the objective and success checks.</w:t>
            </w:r>
          </w:p>
        </w:tc>
      </w:tr>
      <w:tr>
        <w:tc>
          <w:tcPr>
            <w:tcW w:type="dxa" w:w="720"/>
          </w:tcPr>
          <w:p>
            <w:pPr>
              <w:spacing w:after="60" w:before="40"/>
            </w:pPr>
            <w:r>
              <w:rPr>
                <w:b w:val="0"/>
                <w:sz w:val="19"/>
              </w:rPr>
              <w:t>5</w:t>
            </w:r>
          </w:p>
        </w:tc>
        <w:tc>
          <w:tcPr>
            <w:tcW w:type="dxa" w:w="648"/>
          </w:tcPr>
          <w:p>
            <w:pPr>
              <w:spacing w:after="60" w:before="40"/>
            </w:pPr>
            <w:r>
              <w:rPr>
                <w:b w:val="0"/>
                <w:sz w:val="19"/>
              </w:rPr>
              <w:t>5</w:t>
            </w:r>
          </w:p>
        </w:tc>
        <w:tc>
          <w:tcPr>
            <w:tcW w:type="dxa" w:w="8568"/>
          </w:tcPr>
          <w:p>
            <w:pPr>
              <w:spacing w:after="60" w:before="40"/>
            </w:pPr>
            <w:r>
              <w:rPr>
                <w:b w:val="0"/>
                <w:sz w:val="19"/>
              </w:rPr>
              <w:t>Model with a separate set.</w:t>
            </w:r>
          </w:p>
        </w:tc>
      </w:tr>
      <w:tr>
        <w:tc>
          <w:tcPr>
            <w:tcW w:type="dxa" w:w="720"/>
          </w:tcPr>
          <w:p>
            <w:pPr>
              <w:spacing w:after="60" w:before="40"/>
            </w:pPr>
            <w:r>
              <w:rPr>
                <w:b w:val="0"/>
                <w:sz w:val="19"/>
              </w:rPr>
              <w:t>6</w:t>
            </w:r>
          </w:p>
        </w:tc>
        <w:tc>
          <w:tcPr>
            <w:tcW w:type="dxa" w:w="648"/>
          </w:tcPr>
          <w:p>
            <w:pPr>
              <w:spacing w:after="60" w:before="40"/>
            </w:pPr>
            <w:r>
              <w:rPr>
                <w:b w:val="0"/>
                <w:sz w:val="19"/>
              </w:rPr>
              <w:t>5</w:t>
            </w:r>
          </w:p>
        </w:tc>
        <w:tc>
          <w:tcPr>
            <w:tcW w:type="dxa" w:w="8568"/>
          </w:tcPr>
          <w:p>
            <w:pPr>
              <w:spacing w:after="60" w:before="40"/>
            </w:pPr>
            <w:r>
              <w:rPr>
                <w:b w:val="0"/>
                <w:sz w:val="19"/>
              </w:rPr>
              <w:t>Hinge check and brief reteach.</w:t>
            </w:r>
          </w:p>
        </w:tc>
      </w:tr>
      <w:tr>
        <w:tc>
          <w:tcPr>
            <w:tcW w:type="dxa" w:w="720"/>
          </w:tcPr>
          <w:p>
            <w:pPr>
              <w:spacing w:after="60" w:before="40"/>
            </w:pPr>
            <w:r>
              <w:rPr>
                <w:b w:val="0"/>
                <w:sz w:val="19"/>
              </w:rPr>
              <w:t>7</w:t>
            </w:r>
          </w:p>
        </w:tc>
        <w:tc>
          <w:tcPr>
            <w:tcW w:type="dxa" w:w="648"/>
          </w:tcPr>
          <w:p>
            <w:pPr>
              <w:spacing w:after="60" w:before="40"/>
            </w:pPr>
            <w:r>
              <w:rPr>
                <w:b w:val="0"/>
                <w:sz w:val="19"/>
              </w:rPr>
              <w:t>12</w:t>
            </w:r>
          </w:p>
        </w:tc>
        <w:tc>
          <w:tcPr>
            <w:tcW w:type="dxa" w:w="8568"/>
          </w:tcPr>
          <w:p>
            <w:pPr>
              <w:spacing w:after="60" w:before="40"/>
            </w:pPr>
            <w:r>
              <w:rPr>
                <w:b w:val="0"/>
                <w:sz w:val="19"/>
              </w:rPr>
              <w:t>Individual task with the chosen route.</w:t>
            </w:r>
          </w:p>
        </w:tc>
      </w:tr>
      <w:tr>
        <w:tc>
          <w:tcPr>
            <w:tcW w:type="dxa" w:w="720"/>
          </w:tcPr>
          <w:p>
            <w:pPr>
              <w:spacing w:after="60" w:before="40"/>
            </w:pPr>
            <w:r>
              <w:rPr>
                <w:b w:val="0"/>
                <w:sz w:val="19"/>
              </w:rPr>
              <w:t>8</w:t>
            </w:r>
          </w:p>
        </w:tc>
        <w:tc>
          <w:tcPr>
            <w:tcW w:type="dxa" w:w="648"/>
          </w:tcPr>
          <w:p>
            <w:pPr>
              <w:spacing w:after="60" w:before="40"/>
            </w:pPr>
            <w:r>
              <w:rPr>
                <w:b w:val="0"/>
                <w:sz w:val="19"/>
              </w:rPr>
              <w:t>6</w:t>
            </w:r>
          </w:p>
        </w:tc>
        <w:tc>
          <w:tcPr>
            <w:tcW w:type="dxa" w:w="8568"/>
          </w:tcPr>
          <w:p>
            <w:pPr>
              <w:spacing w:after="60" w:before="40"/>
            </w:pPr>
            <w:r>
              <w:rPr>
                <w:b w:val="0"/>
                <w:sz w:val="19"/>
              </w:rPr>
              <w:t>Record actual work, response and support.</w:t>
            </w:r>
          </w:p>
        </w:tc>
      </w:tr>
      <w:tr>
        <w:tc>
          <w:tcPr>
            <w:tcW w:type="dxa" w:w="720"/>
          </w:tcPr>
          <w:p>
            <w:pPr>
              <w:spacing w:after="60" w:before="40"/>
            </w:pPr>
            <w:r>
              <w:rPr>
                <w:b w:val="0"/>
                <w:sz w:val="19"/>
              </w:rPr>
              <w:t>9</w:t>
            </w:r>
          </w:p>
        </w:tc>
        <w:tc>
          <w:tcPr>
            <w:tcW w:type="dxa" w:w="648"/>
          </w:tcPr>
          <w:p>
            <w:pPr>
              <w:spacing w:after="60" w:before="40"/>
            </w:pPr>
            <w:r>
              <w:rPr>
                <w:b w:val="0"/>
                <w:sz w:val="19"/>
              </w:rPr>
              <w:t>4</w:t>
            </w:r>
          </w:p>
        </w:tc>
        <w:tc>
          <w:tcPr>
            <w:tcW w:type="dxa" w:w="8568"/>
          </w:tcPr>
          <w:p>
            <w:pPr>
              <w:spacing w:after="60" w:before="40"/>
            </w:pPr>
            <w:r>
              <w:rPr>
                <w:b w:val="0"/>
                <w:sz w:val="19"/>
              </w:rPr>
              <w:t>Tidy and check work references.</w:t>
            </w:r>
          </w:p>
        </w:tc>
      </w:tr>
      <w:tr>
        <w:tc>
          <w:tcPr>
            <w:tcW w:type="dxa" w:w="720"/>
          </w:tcPr>
          <w:p>
            <w:pPr>
              <w:spacing w:after="60" w:before="40"/>
            </w:pPr>
            <w:r>
              <w:rPr>
                <w:b w:val="0"/>
                <w:sz w:val="19"/>
              </w:rPr>
              <w:t>10</w:t>
            </w:r>
          </w:p>
        </w:tc>
        <w:tc>
          <w:tcPr>
            <w:tcW w:type="dxa" w:w="648"/>
          </w:tcPr>
          <w:p>
            <w:pPr>
              <w:spacing w:after="60" w:before="40"/>
            </w:pPr>
            <w:r>
              <w:rPr>
                <w:b w:val="0"/>
                <w:sz w:val="19"/>
              </w:rPr>
              <w:t>2</w:t>
            </w:r>
          </w:p>
        </w:tc>
        <w:tc>
          <w:tcPr>
            <w:tcW w:type="dxa" w:w="8568"/>
          </w:tcPr>
          <w:p>
            <w:pPr>
              <w:spacing w:after="60" w:before="40"/>
            </w:pPr>
            <w:r>
              <w:rPr>
                <w:b w:val="0"/>
                <w:sz w:val="19"/>
              </w:rPr>
              <w:t>Individual exit response and next step.</w:t>
            </w:r>
          </w:p>
        </w:tc>
      </w:tr>
      <w:tr>
        <w:tc>
          <w:tcPr>
            <w:tcW w:type="dxa" w:w="720"/>
          </w:tcPr>
          <w:p>
            <w:pPr>
              <w:spacing w:after="60" w:before="40"/>
            </w:pPr>
            <w:r>
              <w:rPr>
                <w:b w:val="0"/>
                <w:sz w:val="19"/>
              </w:rPr>
              <w:t>11</w:t>
            </w:r>
          </w:p>
        </w:tc>
        <w:tc>
          <w:tcPr>
            <w:tcW w:type="dxa" w:w="648"/>
          </w:tcPr>
          <w:p>
            <w:pPr>
              <w:spacing w:after="60" w:before="40"/>
            </w:pPr>
            <w:r>
              <w:rPr>
                <w:b w:val="0"/>
                <w:sz w:val="19"/>
              </w:rPr>
              <w:t>0</w:t>
            </w:r>
          </w:p>
        </w:tc>
        <w:tc>
          <w:tcPr>
            <w:tcW w:type="dxa" w:w="8568"/>
          </w:tcPr>
          <w:p>
            <w:pPr>
              <w:spacing w:after="60" w:before="40"/>
            </w:pPr>
            <w:r>
              <w:rPr>
                <w:b w:val="0"/>
                <w:sz w:val="19"/>
              </w:rPr>
              <w:t>Vocabulary available throughout.</w:t>
            </w:r>
          </w:p>
        </w:tc>
      </w:tr>
      <w:tr>
        <w:tc>
          <w:tcPr>
            <w:tcW w:type="dxa" w:w="720"/>
          </w:tcPr>
          <w:p>
            <w:pPr>
              <w:spacing w:after="60" w:before="40"/>
            </w:pPr>
            <w:r>
              <w:rPr>
                <w:b w:val="0"/>
                <w:sz w:val="19"/>
              </w:rPr>
              <w:t>12</w:t>
            </w:r>
          </w:p>
        </w:tc>
        <w:tc>
          <w:tcPr>
            <w:tcW w:type="dxa" w:w="648"/>
          </w:tcPr>
          <w:p>
            <w:pPr>
              <w:spacing w:after="60" w:before="40"/>
            </w:pPr>
            <w:r>
              <w:rPr>
                <w:b w:val="0"/>
                <w:sz w:val="19"/>
              </w:rPr>
              <w:t>0</w:t>
            </w:r>
          </w:p>
        </w:tc>
        <w:tc>
          <w:tcPr>
            <w:tcW w:type="dxa" w:w="8568"/>
          </w:tcPr>
          <w:p>
            <w:pPr>
              <w:spacing w:after="60" w:before="40"/>
            </w:pPr>
            <w:r>
              <w:rPr>
                <w:b w:val="0"/>
                <w:sz w:val="19"/>
              </w:rPr>
              <w:t>Hidden staff reference.</w:t>
            </w:r>
          </w:p>
        </w:tc>
      </w:tr>
    </w:tbl>
    <w:p>
      <w:pPr>
        <w:pStyle w:val="Heading1"/>
      </w:pPr>
      <w:r>
        <w:rPr>
          <w:b w:val="0"/>
        </w:rPr>
        <w:t>Hinge and reteach</w:t>
      </w:r>
    </w:p>
    <w:p>
      <w:r>
        <w:rPr>
          <w:b w:val="0"/>
        </w:rPr>
        <w:t>A fits the supplied garden role. B is the store role and C the shop role in this particular brief. Real jobs can share tasks; do not teach a universal rule from these fictional examples. Recheck with a new task card and ask what fact in the role brief supports the match.</w:t>
      </w:r>
    </w:p>
    <w:p>
      <w:pPr>
        <w:pStyle w:val="Heading1"/>
      </w:pPr>
      <w:r>
        <w:rPr>
          <w:b w:val="0"/>
        </w:rPr>
        <w:t>Routes and task</w:t>
      </w:r>
    </w:p>
    <w:p>
      <w:r>
        <w:rPr>
          <w:b w:val="0"/>
        </w:rPr>
        <w:t>Supported: choose between two role cards; make two job-to-task matches with reading support. Independent: sort all six task cards, then record two different role matches and one reason. Aspire: explain how a skill could be used in more than one role, using the supplied briefs.</w:t>
      </w:r>
    </w:p>
    <w:p>
      <w:r>
        <w:rPr>
          <w:b w:val="0"/>
        </w:rPr>
        <w:t>Use four minutes to explore the three fictional role briefs. Use five minutes to sort tasks: all routes record two different job-role matches, with the Supported route choosing between two roles. Use three minutes to choose a role and give a reason from its brief. Ask for a clarification or improvement after one specific prompt; keep the first response.</w:t>
      </w:r>
    </w:p>
    <w:p>
      <w:r>
        <w:rPr>
          <w:b w:val="0"/>
          <w:sz w:val="19"/>
        </w:rPr>
        <w:t>Read aloud, point, scribe exact words or use the usual communication aid. Record support without treating speech speed or handwriting as the target.</w:t>
      </w:r>
    </w:p>
    <w:p>
      <w:r>
        <w:br w:type="page"/>
      </w:r>
    </w:p>
    <w:p>
      <w:pPr>
        <w:pStyle w:val="Heading1"/>
      </w:pPr>
      <w:r>
        <w:rPr>
          <w:b w:val="0"/>
        </w:rPr>
        <w:t>Safe teaching and evidence</w:t>
      </w:r>
    </w:p>
    <w:p>
      <w:pPr>
        <w:pStyle w:val="Heading1"/>
      </w:pPr>
      <w:r>
        <w:rPr>
          <w:b w:val="0"/>
        </w:rPr>
        <w:t>Boundaries</w:t>
      </w:r>
    </w:p>
    <w:p>
      <w:r>
        <w:rPr>
          <w:b w:val="0"/>
        </w:rPr>
        <w:t>All worker profiles, job roles, employers and settings are fictional. Use only the supplied classroom tasks; no real employers, applications or personal contact details. No names are required. Do not ask about family, body or private experiences. Respect a choice to pause or respond privately. No forced pair work or public performance. Follow the setting’s safeguarding route if a concern is raised.</w:t>
      </w:r>
    </w:p>
    <w:p>
      <w:pPr>
        <w:pStyle w:val="Heading1"/>
      </w:pPr>
      <w:r>
        <w:rPr>
          <w:b w:val="0"/>
        </w:rPr>
        <w:t>Assessment and feedback</w:t>
      </w:r>
    </w:p>
    <w:p>
      <w:r>
        <w:rPr>
          <w:b w:val="0"/>
        </w:rPr>
        <w:t>Record two different roles and their linked task cards. Capture the learner’s own reason for the chosen role and the support used. The role choice has no right answer; the link between task and role must be supported by the brief. Record not yet for unattempted matches, and arrange another supported attempt. No real job choice or application is required.</w:t>
      </w:r>
    </w:p>
    <w:p>
      <w:r>
        <w:rPr>
          <w:b w:val="0"/>
          <w:sz w:val="19"/>
        </w:rPr>
        <w:t>Use VF · WS · I · NS+ (Yellow Box) · // self-edit · ? read back · R responded · E evidence in the evidence record. R requires Voice, Audience, a specific NS+ prompt and the learner response in their own colour. E is recorded only when actual evidence is banked. Record support and unfinished work; blank forms and adult models are not completed learner evidence.</w:t>
      </w:r>
    </w:p>
    <w:p>
      <w:pPr>
        <w:pStyle w:val="Heading1"/>
      </w:pPr>
      <w:r>
        <w:rPr>
          <w:b w:val="0"/>
        </w:rPr>
        <w:t>Learner voice and thread tags</w:t>
      </w:r>
    </w:p>
    <w:p>
      <w:r>
        <w:rPr>
          <w:b w:val="0"/>
        </w:rPr>
        <w:t>Space: calm seating and clear resources. Voice: choose a mode, reason or help request. Audience: an adult listens or reads and replies. Influence: record the support or next step changed in response.</w:t>
      </w:r>
    </w:p>
    <w:p>
      <w:r>
        <w:rPr>
          <w:b w:val="0"/>
          <w:sz w:val="19"/>
        </w:rPr>
        <w:t>S: reflect on skills or choices. So: listen and share task talk. IL: choose a response mode and task route. MR: value different skills and roles without ranking people.</w:t>
      </w:r>
    </w:p>
    <w:p>
      <w:pPr>
        <w:pStyle w:val="Heading1"/>
      </w:pPr>
      <w:r>
        <w:rPr>
          <w:b w:val="0"/>
        </w:rPr>
        <w:t>Offer to the Communication portfolio</w:t>
      </w:r>
    </w:p>
    <w:p>
      <w:r>
        <w:rPr>
          <w:b w:val="0"/>
        </w:rPr>
        <w:t>Offer an authentic role explanation, reason or clarification request to the Communication portfolio. Record the actual learner response and support; the receiving teacher decides any mapping.</w:t>
      </w:r>
    </w:p>
    <w:p>
      <w:pPr>
        <w:pStyle w:val="Heading1"/>
      </w:pPr>
      <w:r>
        <w:rPr>
          <w:b w:val="0"/>
        </w:rPr>
        <w:t>Reflection and provenance</w:t>
      </w:r>
    </w:p>
    <w:p>
      <w:r>
        <w:rPr>
          <w:b w:val="0"/>
        </w:rPr>
        <w:t>Next teaching need: __________________________________________</w:t>
        <w:br/>
        <w:t>Learner request and change made: ______________________________</w:t>
      </w:r>
    </w:p>
    <w:p>
      <w:r>
        <w:rPr>
          <w:b w:val="0"/>
          <w:sz w:val="18"/>
        </w:rPr>
        <w:t>Source: owner_orders/BUILD_Careers_Autumn2_YearA_outline, revision approved-2026-10-26. Context: scheme_references/BUILD_SOW.xlsx, revision uploaded-source-2026-09-04; BUILD - Autumn C19/D19/E19; BUILD Weekly - Autumn C140/C141. Tasks are newly authored. The qualification and the accredited unit require staff mapping of actual work. No completion is claimed. Sources: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 and their tasks</dc:title>
  <dc:subject>CAREERS-BUILD-A2-W02</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