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b w:val="0"/>
        </w:rPr>
        <w:t>Teacher and cover planner</w:t>
      </w:r>
    </w:p>
    <w:p>
      <w:r>
        <w:rPr>
          <w:b/>
        </w:rPr>
        <w:t>Follow the steps</w:t>
      </w:r>
    </w:p>
    <w:p>
      <w:r>
        <w:rPr>
          <w:b w:val="0"/>
        </w:rPr>
        <w:t>Week beginning 16 November 2026 · one 40-minute lesson</w:t>
      </w:r>
    </w:p>
    <w:p>
      <w:r>
        <w:rPr>
          <w:b w:val="0"/>
        </w:rPr>
        <w:t>Actual date __________________  Staff role ______________</w:t>
      </w:r>
    </w:p>
    <w:p>
      <w:r>
        <w:rPr>
          <w:b w:val="0"/>
        </w:rPr>
        <w:t>Year A · Term theme: Identity &amp; Belonging</w:t>
      </w:r>
    </w:p>
    <w:p>
      <w:r>
        <w:rPr>
          <w:b w:val="0"/>
          <w:sz w:val="19"/>
        </w:rPr>
        <w:t>Thread tags: SMSC S/So (M/C: none); British Values IL/MR (D/RL/T: none).</w:t>
      </w:r>
    </w:p>
    <w:p>
      <w:pPr>
        <w:pStyle w:val="Heading1"/>
      </w:pPr>
      <w:r>
        <w:rPr>
          <w:b w:val="0"/>
        </w:rPr>
        <w:t>Approved objective and source</w:t>
      </w:r>
    </w:p>
    <w:p>
      <w:r>
        <w:rPr>
          <w:b w:val="0"/>
        </w:rPr>
        <w:t>Follow a two-step work instruction and check the result.</w:t>
      </w:r>
    </w:p>
    <w:p>
      <w:r>
        <w:rPr>
          <w:b w:val="0"/>
          <w:sz w:val="19"/>
        </w:rPr>
        <w:t>Owner-approved standalone Careers outline, 26 October 2026. The combined workbook strand supplies context; it does not replace this approved weekly objective.</w:t>
      </w:r>
    </w:p>
    <w:p>
      <w:pPr>
        <w:pStyle w:val="Heading1"/>
      </w:pPr>
      <w:r>
        <w:rPr>
          <w:b w:val="0"/>
        </w:rPr>
        <w:t>Purpose and success checks</w:t>
      </w:r>
    </w:p>
    <w:p>
      <w:r>
        <w:rPr>
          <w:b w:val="0"/>
        </w:rPr>
        <w:t>A worker must pack a set. How can they check it?</w:t>
      </w:r>
    </w:p>
    <w:p>
      <w:r>
        <w:rPr>
          <w:b w:val="0"/>
        </w:rPr>
        <w:t>Put the two step cards in order. Pack the cards in the tray. Check the pack and show any change.</w:t>
      </w:r>
    </w:p>
    <w:p>
      <w:r>
        <w:rPr>
          <w:b w:val="0"/>
          <w:sz w:val="19"/>
        </w:rPr>
        <w:t>CAREERS-BUILD-A2-W03-E1: Sequenced instructions, the completed task and an observation recording accuracy and prompts.</w:t>
      </w:r>
    </w:p>
    <w:p>
      <w:pPr>
        <w:pStyle w:val="Heading1"/>
      </w:pPr>
      <w:r>
        <w:rPr>
          <w:b w:val="0"/>
        </w:rPr>
        <w:t>Before pupils arrive</w:t>
      </w:r>
    </w:p>
    <w:p>
      <w:r>
        <w:rPr>
          <w:b w:val="0"/>
        </w:rPr>
        <w:t>For each learner, print both evidence pages and the three support pages. Cut the two picture cards on page 1 and the three large shape cards on page 2. Keep the tray and sequence mats whole. There is one circle and two squares; one square is a spare for the check task. Prepare a separate model set. Shape, count and position matter, not colour. Keep work individual, with reading, pointing or placement support recorded.</w:t>
      </w:r>
    </w:p>
    <w:p>
      <w:pPr>
        <w:pStyle w:val="Heading1"/>
      </w:pPr>
      <w:r>
        <w:rPr>
          <w:b w:val="0"/>
        </w:rPr>
        <w:t>Calendar and continuity</w:t>
      </w:r>
    </w:p>
    <w:p>
      <w:r>
        <w:rPr>
          <w:b w:val="0"/>
        </w:rPr>
        <w:t>Year A. Autumn 2 Week 3: 16–20 November 2026. One 40-minute Careers lesson. No day or clock slot is inferred. This lesson is formative. Week 7 is the assessing lesson.</w:t>
      </w:r>
    </w:p>
    <w:p>
      <w:pPr>
        <w:pStyle w:val="Heading1"/>
      </w:pPr>
      <w:r>
        <w:rPr>
          <w:b w:val="0"/>
        </w:rPr>
        <w:t>Where this leads</w:t>
      </w:r>
    </w:p>
    <w:p>
      <w:r>
        <w:rPr>
          <w:b w:val="0"/>
        </w:rPr>
        <w:t>This helps me follow instructions and check my work.</w:t>
      </w:r>
    </w:p>
    <w:p>
      <w:r>
        <w:br w:type="page"/>
      </w:r>
    </w:p>
    <w:p>
      <w:pPr>
        <w:pStyle w:val="Heading1"/>
      </w:pPr>
      <w:r>
        <w:rPr>
          <w:b w:val="0"/>
        </w:rPr>
        <w:t>Forty minute sequence</w:t>
      </w:r>
    </w:p>
    <w:tbl>
      <w:tblPr>
        <w:tblStyle w:val="TableGrid"/>
        <w:tblW w:type="auto" w:w="0"/>
        <w:tblLayout w:type="fixed"/>
        <w:tblLook w:firstColumn="1" w:firstRow="1" w:lastColumn="0" w:lastRow="0" w:noHBand="0" w:noVBand="1" w:val="04A0"/>
      </w:tblPr>
      <w:tblGrid>
        <w:gridCol w:w="720"/>
        <w:gridCol w:w="648"/>
        <w:gridCol w:w="8568"/>
      </w:tblGrid>
      <w:tr>
        <w:trPr>
          <w:tblHeader/>
        </w:trPr>
        <w:tc>
          <w:tcPr>
            <w:tcW w:type="dxa" w:w="720"/>
          </w:tcPr>
          <w:p>
            <w:pPr>
              <w:spacing w:after="60" w:before="40"/>
            </w:pPr>
            <w:r>
              <w:rPr>
                <w:b/>
                <w:sz w:val="19"/>
              </w:rPr>
              <w:t>Slide</w:t>
            </w:r>
          </w:p>
        </w:tc>
        <w:tc>
          <w:tcPr>
            <w:tcW w:type="dxa" w:w="648"/>
          </w:tcPr>
          <w:p>
            <w:pPr>
              <w:spacing w:after="60" w:before="40"/>
            </w:pPr>
            <w:r>
              <w:rPr>
                <w:b/>
                <w:sz w:val="19"/>
              </w:rPr>
              <w:t>Min</w:t>
            </w:r>
          </w:p>
        </w:tc>
        <w:tc>
          <w:tcPr>
            <w:tcW w:type="dxa" w:w="8568"/>
          </w:tcPr>
          <w:p>
            <w:pPr>
              <w:spacing w:after="60" w:before="40"/>
            </w:pPr>
            <w:r>
              <w:rPr>
                <w:b/>
                <w:sz w:val="19"/>
              </w:rPr>
              <w:t>Action</w:t>
            </w:r>
          </w:p>
        </w:tc>
      </w:tr>
      <w:tr>
        <w:tc>
          <w:tcPr>
            <w:tcW w:type="dxa" w:w="720"/>
          </w:tcPr>
          <w:p>
            <w:pPr>
              <w:spacing w:after="60" w:before="40"/>
            </w:pPr>
            <w:r>
              <w:rPr>
                <w:b w:val="0"/>
                <w:sz w:val="19"/>
              </w:rPr>
              <w:t>1</w:t>
            </w:r>
          </w:p>
        </w:tc>
        <w:tc>
          <w:tcPr>
            <w:tcW w:type="dxa" w:w="648"/>
          </w:tcPr>
          <w:p>
            <w:pPr>
              <w:spacing w:after="60" w:before="40"/>
            </w:pPr>
            <w:r>
              <w:rPr>
                <w:b w:val="0"/>
                <w:sz w:val="19"/>
              </w:rPr>
              <w:t>0</w:t>
            </w:r>
          </w:p>
        </w:tc>
        <w:tc>
          <w:tcPr>
            <w:tcW w:type="dxa" w:w="8568"/>
          </w:tcPr>
          <w:p>
            <w:pPr>
              <w:spacing w:after="60" w:before="40"/>
            </w:pPr>
            <w:r>
              <w:rPr>
                <w:b w:val="0"/>
                <w:sz w:val="19"/>
              </w:rPr>
              <w:t>Open the title before the timed sequence.</w:t>
            </w:r>
          </w:p>
        </w:tc>
      </w:tr>
      <w:tr>
        <w:tc>
          <w:tcPr>
            <w:tcW w:type="dxa" w:w="720"/>
          </w:tcPr>
          <w:p>
            <w:pPr>
              <w:spacing w:after="60" w:before="40"/>
            </w:pPr>
            <w:r>
              <w:rPr>
                <w:b w:val="0"/>
                <w:sz w:val="19"/>
              </w:rPr>
              <w:t>2</w:t>
            </w:r>
          </w:p>
        </w:tc>
        <w:tc>
          <w:tcPr>
            <w:tcW w:type="dxa" w:w="648"/>
          </w:tcPr>
          <w:p>
            <w:pPr>
              <w:spacing w:after="60" w:before="40"/>
            </w:pPr>
            <w:r>
              <w:rPr>
                <w:b w:val="0"/>
                <w:sz w:val="19"/>
              </w:rPr>
              <w:t>3</w:t>
            </w:r>
          </w:p>
        </w:tc>
        <w:tc>
          <w:tcPr>
            <w:tcW w:type="dxa" w:w="8568"/>
          </w:tcPr>
          <w:p>
            <w:pPr>
              <w:spacing w:after="60" w:before="40"/>
            </w:pPr>
            <w:r>
              <w:rPr>
                <w:b w:val="0"/>
                <w:sz w:val="19"/>
              </w:rPr>
              <w:t>Calm arrival and support choice.</w:t>
            </w:r>
          </w:p>
        </w:tc>
      </w:tr>
      <w:tr>
        <w:tc>
          <w:tcPr>
            <w:tcW w:type="dxa" w:w="720"/>
          </w:tcPr>
          <w:p>
            <w:pPr>
              <w:spacing w:after="60" w:before="40"/>
            </w:pPr>
            <w:r>
              <w:rPr>
                <w:b w:val="0"/>
                <w:sz w:val="19"/>
              </w:rPr>
              <w:t>3</w:t>
            </w:r>
          </w:p>
        </w:tc>
        <w:tc>
          <w:tcPr>
            <w:tcW w:type="dxa" w:w="648"/>
          </w:tcPr>
          <w:p>
            <w:pPr>
              <w:spacing w:after="60" w:before="40"/>
            </w:pPr>
            <w:r>
              <w:rPr>
                <w:b w:val="0"/>
                <w:sz w:val="19"/>
              </w:rPr>
              <w:t>3</w:t>
            </w:r>
          </w:p>
        </w:tc>
        <w:tc>
          <w:tcPr>
            <w:tcW w:type="dxa" w:w="8568"/>
          </w:tcPr>
          <w:p>
            <w:pPr>
              <w:spacing w:after="60" w:before="40"/>
            </w:pPr>
            <w:r>
              <w:rPr>
                <w:b w:val="0"/>
                <w:sz w:val="19"/>
              </w:rPr>
              <w:t>Explore the fictional task picture.</w:t>
            </w:r>
          </w:p>
        </w:tc>
      </w:tr>
      <w:tr>
        <w:tc>
          <w:tcPr>
            <w:tcW w:type="dxa" w:w="720"/>
          </w:tcPr>
          <w:p>
            <w:pPr>
              <w:spacing w:after="60" w:before="40"/>
            </w:pPr>
            <w:r>
              <w:rPr>
                <w:b w:val="0"/>
                <w:sz w:val="19"/>
              </w:rPr>
              <w:t>4</w:t>
            </w:r>
          </w:p>
        </w:tc>
        <w:tc>
          <w:tcPr>
            <w:tcW w:type="dxa" w:w="648"/>
          </w:tcPr>
          <w:p>
            <w:pPr>
              <w:spacing w:after="60" w:before="40"/>
            </w:pPr>
            <w:r>
              <w:rPr>
                <w:b w:val="0"/>
                <w:sz w:val="19"/>
              </w:rPr>
              <w:t>0</w:t>
            </w:r>
          </w:p>
        </w:tc>
        <w:tc>
          <w:tcPr>
            <w:tcW w:type="dxa" w:w="8568"/>
          </w:tcPr>
          <w:p>
            <w:pPr>
              <w:spacing w:after="60" w:before="40"/>
            </w:pPr>
            <w:r>
              <w:rPr>
                <w:b w:val="0"/>
                <w:sz w:val="19"/>
              </w:rPr>
              <w:t>Read the objective and success checks.</w:t>
            </w:r>
          </w:p>
        </w:tc>
      </w:tr>
      <w:tr>
        <w:tc>
          <w:tcPr>
            <w:tcW w:type="dxa" w:w="720"/>
          </w:tcPr>
          <w:p>
            <w:pPr>
              <w:spacing w:after="60" w:before="40"/>
            </w:pPr>
            <w:r>
              <w:rPr>
                <w:b w:val="0"/>
                <w:sz w:val="19"/>
              </w:rPr>
              <w:t>5</w:t>
            </w:r>
          </w:p>
        </w:tc>
        <w:tc>
          <w:tcPr>
            <w:tcW w:type="dxa" w:w="648"/>
          </w:tcPr>
          <w:p>
            <w:pPr>
              <w:spacing w:after="60" w:before="40"/>
            </w:pPr>
            <w:r>
              <w:rPr>
                <w:b w:val="0"/>
                <w:sz w:val="19"/>
              </w:rPr>
              <w:t>5</w:t>
            </w:r>
          </w:p>
        </w:tc>
        <w:tc>
          <w:tcPr>
            <w:tcW w:type="dxa" w:w="8568"/>
          </w:tcPr>
          <w:p>
            <w:pPr>
              <w:spacing w:after="60" w:before="40"/>
            </w:pPr>
            <w:r>
              <w:rPr>
                <w:b w:val="0"/>
                <w:sz w:val="19"/>
              </w:rPr>
              <w:t>Model with a separate set.</w:t>
            </w:r>
          </w:p>
        </w:tc>
      </w:tr>
      <w:tr>
        <w:tc>
          <w:tcPr>
            <w:tcW w:type="dxa" w:w="720"/>
          </w:tcPr>
          <w:p>
            <w:pPr>
              <w:spacing w:after="60" w:before="40"/>
            </w:pPr>
            <w:r>
              <w:rPr>
                <w:b w:val="0"/>
                <w:sz w:val="19"/>
              </w:rPr>
              <w:t>6</w:t>
            </w:r>
          </w:p>
        </w:tc>
        <w:tc>
          <w:tcPr>
            <w:tcW w:type="dxa" w:w="648"/>
          </w:tcPr>
          <w:p>
            <w:pPr>
              <w:spacing w:after="60" w:before="40"/>
            </w:pPr>
            <w:r>
              <w:rPr>
                <w:b w:val="0"/>
                <w:sz w:val="19"/>
              </w:rPr>
              <w:t>5</w:t>
            </w:r>
          </w:p>
        </w:tc>
        <w:tc>
          <w:tcPr>
            <w:tcW w:type="dxa" w:w="8568"/>
          </w:tcPr>
          <w:p>
            <w:pPr>
              <w:spacing w:after="60" w:before="40"/>
            </w:pPr>
            <w:r>
              <w:rPr>
                <w:b w:val="0"/>
                <w:sz w:val="19"/>
              </w:rPr>
              <w:t>Hinge check and brief reteach.</w:t>
            </w:r>
          </w:p>
        </w:tc>
      </w:tr>
      <w:tr>
        <w:tc>
          <w:tcPr>
            <w:tcW w:type="dxa" w:w="720"/>
          </w:tcPr>
          <w:p>
            <w:pPr>
              <w:spacing w:after="60" w:before="40"/>
            </w:pPr>
            <w:r>
              <w:rPr>
                <w:b w:val="0"/>
                <w:sz w:val="19"/>
              </w:rPr>
              <w:t>7</w:t>
            </w:r>
          </w:p>
        </w:tc>
        <w:tc>
          <w:tcPr>
            <w:tcW w:type="dxa" w:w="648"/>
          </w:tcPr>
          <w:p>
            <w:pPr>
              <w:spacing w:after="60" w:before="40"/>
            </w:pPr>
            <w:r>
              <w:rPr>
                <w:b w:val="0"/>
                <w:sz w:val="19"/>
              </w:rPr>
              <w:t>12</w:t>
            </w:r>
          </w:p>
        </w:tc>
        <w:tc>
          <w:tcPr>
            <w:tcW w:type="dxa" w:w="8568"/>
          </w:tcPr>
          <w:p>
            <w:pPr>
              <w:spacing w:after="60" w:before="40"/>
            </w:pPr>
            <w:r>
              <w:rPr>
                <w:b w:val="0"/>
                <w:sz w:val="19"/>
              </w:rPr>
              <w:t>Individual task with the chosen route.</w:t>
            </w:r>
          </w:p>
        </w:tc>
      </w:tr>
      <w:tr>
        <w:tc>
          <w:tcPr>
            <w:tcW w:type="dxa" w:w="720"/>
          </w:tcPr>
          <w:p>
            <w:pPr>
              <w:spacing w:after="60" w:before="40"/>
            </w:pPr>
            <w:r>
              <w:rPr>
                <w:b w:val="0"/>
                <w:sz w:val="19"/>
              </w:rPr>
              <w:t>8</w:t>
            </w:r>
          </w:p>
        </w:tc>
        <w:tc>
          <w:tcPr>
            <w:tcW w:type="dxa" w:w="648"/>
          </w:tcPr>
          <w:p>
            <w:pPr>
              <w:spacing w:after="60" w:before="40"/>
            </w:pPr>
            <w:r>
              <w:rPr>
                <w:b w:val="0"/>
                <w:sz w:val="19"/>
              </w:rPr>
              <w:t>6</w:t>
            </w:r>
          </w:p>
        </w:tc>
        <w:tc>
          <w:tcPr>
            <w:tcW w:type="dxa" w:w="8568"/>
          </w:tcPr>
          <w:p>
            <w:pPr>
              <w:spacing w:after="60" w:before="40"/>
            </w:pPr>
            <w:r>
              <w:rPr>
                <w:b w:val="0"/>
                <w:sz w:val="19"/>
              </w:rPr>
              <w:t>Record actual work, response and support.</w:t>
            </w:r>
          </w:p>
        </w:tc>
      </w:tr>
      <w:tr>
        <w:tc>
          <w:tcPr>
            <w:tcW w:type="dxa" w:w="720"/>
          </w:tcPr>
          <w:p>
            <w:pPr>
              <w:spacing w:after="60" w:before="40"/>
            </w:pPr>
            <w:r>
              <w:rPr>
                <w:b w:val="0"/>
                <w:sz w:val="19"/>
              </w:rPr>
              <w:t>9</w:t>
            </w:r>
          </w:p>
        </w:tc>
        <w:tc>
          <w:tcPr>
            <w:tcW w:type="dxa" w:w="648"/>
          </w:tcPr>
          <w:p>
            <w:pPr>
              <w:spacing w:after="60" w:before="40"/>
            </w:pPr>
            <w:r>
              <w:rPr>
                <w:b w:val="0"/>
                <w:sz w:val="19"/>
              </w:rPr>
              <w:t>4</w:t>
            </w:r>
          </w:p>
        </w:tc>
        <w:tc>
          <w:tcPr>
            <w:tcW w:type="dxa" w:w="8568"/>
          </w:tcPr>
          <w:p>
            <w:pPr>
              <w:spacing w:after="60" w:before="40"/>
            </w:pPr>
            <w:r>
              <w:rPr>
                <w:b w:val="0"/>
                <w:sz w:val="19"/>
              </w:rPr>
              <w:t>Tidy and check work references.</w:t>
            </w:r>
          </w:p>
        </w:tc>
      </w:tr>
      <w:tr>
        <w:tc>
          <w:tcPr>
            <w:tcW w:type="dxa" w:w="720"/>
          </w:tcPr>
          <w:p>
            <w:pPr>
              <w:spacing w:after="60" w:before="40"/>
            </w:pPr>
            <w:r>
              <w:rPr>
                <w:b w:val="0"/>
                <w:sz w:val="19"/>
              </w:rPr>
              <w:t>10</w:t>
            </w:r>
          </w:p>
        </w:tc>
        <w:tc>
          <w:tcPr>
            <w:tcW w:type="dxa" w:w="648"/>
          </w:tcPr>
          <w:p>
            <w:pPr>
              <w:spacing w:after="60" w:before="40"/>
            </w:pPr>
            <w:r>
              <w:rPr>
                <w:b w:val="0"/>
                <w:sz w:val="19"/>
              </w:rPr>
              <w:t>2</w:t>
            </w:r>
          </w:p>
        </w:tc>
        <w:tc>
          <w:tcPr>
            <w:tcW w:type="dxa" w:w="8568"/>
          </w:tcPr>
          <w:p>
            <w:pPr>
              <w:spacing w:after="60" w:before="40"/>
            </w:pPr>
            <w:r>
              <w:rPr>
                <w:b w:val="0"/>
                <w:sz w:val="19"/>
              </w:rPr>
              <w:t>Individual exit response and next step.</w:t>
            </w:r>
          </w:p>
        </w:tc>
      </w:tr>
      <w:tr>
        <w:tc>
          <w:tcPr>
            <w:tcW w:type="dxa" w:w="720"/>
          </w:tcPr>
          <w:p>
            <w:pPr>
              <w:spacing w:after="60" w:before="40"/>
            </w:pPr>
            <w:r>
              <w:rPr>
                <w:b w:val="0"/>
                <w:sz w:val="19"/>
              </w:rPr>
              <w:t>11</w:t>
            </w:r>
          </w:p>
        </w:tc>
        <w:tc>
          <w:tcPr>
            <w:tcW w:type="dxa" w:w="648"/>
          </w:tcPr>
          <w:p>
            <w:pPr>
              <w:spacing w:after="60" w:before="40"/>
            </w:pPr>
            <w:r>
              <w:rPr>
                <w:b w:val="0"/>
                <w:sz w:val="19"/>
              </w:rPr>
              <w:t>0</w:t>
            </w:r>
          </w:p>
        </w:tc>
        <w:tc>
          <w:tcPr>
            <w:tcW w:type="dxa" w:w="8568"/>
          </w:tcPr>
          <w:p>
            <w:pPr>
              <w:spacing w:after="60" w:before="40"/>
            </w:pPr>
            <w:r>
              <w:rPr>
                <w:b w:val="0"/>
                <w:sz w:val="19"/>
              </w:rPr>
              <w:t>Vocabulary available throughout.</w:t>
            </w:r>
          </w:p>
        </w:tc>
      </w:tr>
      <w:tr>
        <w:tc>
          <w:tcPr>
            <w:tcW w:type="dxa" w:w="720"/>
          </w:tcPr>
          <w:p>
            <w:pPr>
              <w:spacing w:after="60" w:before="40"/>
            </w:pPr>
            <w:r>
              <w:rPr>
                <w:b w:val="0"/>
                <w:sz w:val="19"/>
              </w:rPr>
              <w:t>12</w:t>
            </w:r>
          </w:p>
        </w:tc>
        <w:tc>
          <w:tcPr>
            <w:tcW w:type="dxa" w:w="648"/>
          </w:tcPr>
          <w:p>
            <w:pPr>
              <w:spacing w:after="60" w:before="40"/>
            </w:pPr>
            <w:r>
              <w:rPr>
                <w:b w:val="0"/>
                <w:sz w:val="19"/>
              </w:rPr>
              <w:t>0</w:t>
            </w:r>
          </w:p>
        </w:tc>
        <w:tc>
          <w:tcPr>
            <w:tcW w:type="dxa" w:w="8568"/>
          </w:tcPr>
          <w:p>
            <w:pPr>
              <w:spacing w:after="60" w:before="40"/>
            </w:pPr>
            <w:r>
              <w:rPr>
                <w:b w:val="0"/>
                <w:sz w:val="19"/>
              </w:rPr>
              <w:t>Hidden staff reference.</w:t>
            </w:r>
          </w:p>
        </w:tc>
      </w:tr>
    </w:tbl>
    <w:p>
      <w:pPr>
        <w:pStyle w:val="Heading1"/>
      </w:pPr>
      <w:r>
        <w:rPr>
          <w:b w:val="0"/>
        </w:rPr>
        <w:t>Hinge and reteach</w:t>
      </w:r>
    </w:p>
    <w:p>
      <w:r>
        <w:rPr>
          <w:b w:val="0"/>
        </w:rPr>
        <w:t>A follows the second instruction. B adds an extra square; C leaves the pack incomplete. A final correct pack alone does not prove the order of actions, so observe the steps as they happen. Reteach with the two picture cards: a circle must already be present before a square can go next to it.</w:t>
      </w:r>
    </w:p>
    <w:p>
      <w:pPr>
        <w:pStyle w:val="Heading1"/>
      </w:pPr>
      <w:r>
        <w:rPr>
          <w:b w:val="0"/>
        </w:rPr>
        <w:t>Routes and task</w:t>
      </w:r>
    </w:p>
    <w:p>
      <w:r>
        <w:rPr>
          <w:b w:val="0"/>
        </w:rPr>
        <w:t>Supported: read the two picture cards together, choose which comes first, then carry out both steps with prompts recorded. Independent: order both picture cards, pack the set and compare it with the final picture. Aspire: check a separate mock pack with an extra or missing square, explain the error and correct it.</w:t>
      </w:r>
    </w:p>
    <w:p>
      <w:r>
        <w:rPr>
          <w:b w:val="0"/>
        </w:rPr>
        <w:t>Use four minutes to order the two picture cards and keep a record of the first choice. Use five minutes to carry out the two packing steps on the printed tray mat. Use three minutes to compare the pack with the picture, identify help used and correct an error if needed. For Aspire, use a separate mock pack with one extra or missing square.</w:t>
      </w:r>
    </w:p>
    <w:p>
      <w:r>
        <w:rPr>
          <w:b w:val="0"/>
          <w:sz w:val="19"/>
        </w:rPr>
        <w:t>Read aloud, point, scribe exact words or use the usual communication aid. Record support without treating speech speed or handwriting as the target.</w:t>
      </w:r>
    </w:p>
    <w:p>
      <w:r>
        <w:br w:type="page"/>
      </w:r>
    </w:p>
    <w:p>
      <w:pPr>
        <w:pStyle w:val="Heading1"/>
      </w:pPr>
      <w:r>
        <w:rPr>
          <w:b w:val="0"/>
        </w:rPr>
        <w:t>Safe teaching and evidence</w:t>
      </w:r>
    </w:p>
    <w:p>
      <w:pPr>
        <w:pStyle w:val="Heading1"/>
      </w:pPr>
      <w:r>
        <w:rPr>
          <w:b w:val="0"/>
        </w:rPr>
        <w:t>Boundaries</w:t>
      </w:r>
    </w:p>
    <w:p>
      <w:r>
        <w:rPr>
          <w:b w:val="0"/>
        </w:rPr>
        <w:t>All worker profiles, job roles, employers and settings are fictional. Use only large paper cards and the supplied tray mats on a clear table. Adults prepare any cutting. No lifting, machinery, sharp tools or real workplace task is needed. Do not ask about body, family or private experiences. No names are required. Respect a pause or quiet response, with no forced partner work or public performance. A learner can query an unclear or unsafe instruction. Follow the setting’s safeguarding route if a concern is raised.</w:t>
      </w:r>
    </w:p>
    <w:p>
      <w:pPr>
        <w:pStyle w:val="Heading1"/>
      </w:pPr>
      <w:r>
        <w:rPr>
          <w:b w:val="0"/>
        </w:rPr>
        <w:t>Assessment and feedback</w:t>
      </w:r>
    </w:p>
    <w:p>
      <w:r>
        <w:rPr>
          <w:b w:val="0"/>
        </w:rPr>
        <w:t>Record the chosen picture-card order, the observed order of actions and the final contents and position of the pack. The target is B then A, one circle then one square beside it, followed by a check. Retain the actual packed mat, a work reference or an observation precise enough to show what happened. Separate the first attempt from prompted changes. Do not infer sequence from a correct final set alone.</w:t>
      </w:r>
    </w:p>
    <w:p>
      <w:r>
        <w:rPr>
          <w:b w:val="0"/>
          <w:sz w:val="19"/>
        </w:rPr>
        <w:t>Use VF · WS · I · NS+ (Yellow Box) · // self-edit · ? read back · R responded · E evidence in the evidence record. R requires Voice, Audience, a specific NS+ prompt and the learner response in their own colour. E is recorded only when actual work is banked. Record support and unfinished work. Blank forms and adult models are not learner evidence.</w:t>
      </w:r>
    </w:p>
    <w:p>
      <w:pPr>
        <w:pStyle w:val="Heading1"/>
      </w:pPr>
      <w:r>
        <w:rPr>
          <w:b w:val="0"/>
        </w:rPr>
        <w:t>Learner voice and thread tags</w:t>
      </w:r>
    </w:p>
    <w:p>
      <w:r>
        <w:rPr>
          <w:b w:val="0"/>
        </w:rPr>
        <w:t>Space: calm seating and clear paper resources. Voice: choose a response mode, explain a check or ask for a detail. Audience: an adult listens, replies and allows time. Influence: record any change to support or the next task in response.</w:t>
      </w:r>
    </w:p>
    <w:p>
      <w:r>
        <w:rPr>
          <w:b w:val="0"/>
          <w:sz w:val="19"/>
        </w:rPr>
        <w:t>S: reflect on a task attempt and support needed. So: listen, ask and respond during a work task. IL: choose a response mode, ask for help or pause. MR: give a person time to understand and ask a question without ridicule.</w:t>
      </w:r>
    </w:p>
    <w:p>
      <w:pPr>
        <w:pStyle w:val="Heading1"/>
      </w:pPr>
      <w:r>
        <w:rPr>
          <w:b w:val="0"/>
        </w:rPr>
        <w:t>Offer to the Communication portfolio</w:t>
      </w:r>
    </w:p>
    <w:p>
      <w:r>
        <w:rPr>
          <w:b w:val="0"/>
        </w:rPr>
        <w:t>Offer an actual explanation of the step order, check or help request to the Communication portfolio. Record the learner’s response and the adult’s reply. Staff confirm any mapping from the work.</w:t>
      </w:r>
    </w:p>
    <w:p>
      <w:pPr>
        <w:pStyle w:val="Heading1"/>
      </w:pPr>
      <w:r>
        <w:rPr>
          <w:b w:val="0"/>
        </w:rPr>
        <w:t>Reflection and provenance</w:t>
      </w:r>
    </w:p>
    <w:p>
      <w:r>
        <w:rPr>
          <w:b w:val="0"/>
        </w:rPr>
        <w:t>Next teaching need: __________________________________________</w:t>
        <w:br/>
        <w:t>Learner request and change made: ______________________________</w:t>
      </w:r>
    </w:p>
    <w:p>
      <w:r>
        <w:rPr>
          <w:b w:val="0"/>
          <w:sz w:val="18"/>
        </w:rPr>
        <w:t>Source: owner_orders/BUILD_Careers_Autumn2_YearA_outline, revision approved-2026-10-26. Context: scheme_references/BUILD_SOW.xlsx, revision uploaded-source-2026-09-04; BUILD - Autumn C19/D19/E19; BUILD Weekly - Autumn C140/C141. Tasks are newly authored. The qualification and the accredited unit require staff mapping of actual work. No completion is claimed. Sources: FACTS_LEDGER.md.</w:t>
      </w:r>
    </w:p>
    <w:sectPr w:rsidR="00FC693F" w:rsidRPr="0006063C" w:rsidSect="00034616">
      <w:headerReference w:type="default" r:id="rId9"/>
      <w:footerReference w:type="default" r:id="rId10"/>
      <w:pgSz w:w="11909" w:h="16834"/>
      <w:pgMar w:top="792" w:right="893" w:bottom="792" w:left="893" w:header="317" w:footer="31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3"/>
      </w:rPr>
      <w:t>Lesson resource · CC BY-NC-SA 4.0: free for classroom use, share and adapt with credit, no resale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6"/>
      </w:rPr>
      <w:t>CAREERS-BUILD-A2-W03 · Public edition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47" w:lineRule="auto"/>
    </w:pPr>
    <w:rPr>
      <w:rFonts w:ascii="Arial" w:hAnsi="Arial"/>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rial" w:hAnsi="Arial"/>
      <w:b w:val="0"/>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60" w:line="240" w:lineRule="auto"/>
      <w:contextualSpacing/>
    </w:pPr>
    <w:rPr>
      <w:rFonts w:asciiTheme="majorHAnsi" w:eastAsiaTheme="majorEastAsia" w:hAnsiTheme="majorHAnsi" w:cstheme="majorBidi" w:ascii="Arial" w:hAnsi="Arial"/>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
  <TotalTime>0</TotalTime>
  <Pages>1</Pages>
  <Words>0</Words>
  <Characters>0</Characters>
  <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Follow the steps</dc:title>
  <dc:subject>CAREERS-BUILD-A2-W03</dc:subject>
  <dc:creator/>
  <cp:keywords>Year A · Careers</cp:keywords>
  <dc:description>Year A · Careers</dc:description>
  <cp:lastModifiedBy/>
  <cp:revision>1</cp:revision>
  <dcterms:created xsi:type="dcterms:W3CDTF">2013-12-23T23:15:00Z</dcterms:created>
  <dcterms:modified xsi:type="dcterms:W3CDTF">2013-12-23T23:15:00Z</dcterms:modified>
  <cp:category/>
</cp:coreProperties>
</file>