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Weekly plan row</w:t>
      </w:r>
    </w:p>
    <w:p>
      <w:r>
        <w:rPr>
          <w:b/>
        </w:rPr>
        <w:t>Follow the steps</w:t>
      </w:r>
    </w:p>
    <w:tbl>
      <w:tblPr>
        <w:tblStyle w:val="TableGrid"/>
        <w:tblW w:type="auto" w:w="0"/>
        <w:tblLayout w:type="fixed"/>
        <w:tblLook w:firstColumn="1" w:firstRow="1" w:lastColumn="0" w:lastRow="0" w:noHBand="0" w:noVBand="1" w:val="04A0"/>
      </w:tblPr>
      <w:tblGrid>
        <w:gridCol w:w="2376"/>
        <w:gridCol w:w="7560"/>
      </w:tblGrid>
      <w:tr>
        <w:trPr>
          <w:tblHeader/>
        </w:trPr>
        <w:tc>
          <w:tcPr>
            <w:tcW w:type="dxa" w:w="2376"/>
          </w:tcPr>
          <w:p>
            <w:pPr>
              <w:spacing w:after="60" w:before="40"/>
            </w:pPr>
            <w:r>
              <w:rPr>
                <w:b/>
                <w:sz w:val="20"/>
              </w:rPr>
              <w:t>Plan field</w:t>
            </w:r>
          </w:p>
        </w:tc>
        <w:tc>
          <w:tcPr>
            <w:tcW w:type="dxa" w:w="7560"/>
          </w:tcPr>
          <w:p>
            <w:pPr>
              <w:spacing w:after="60" w:before="40"/>
            </w:pPr>
            <w:r>
              <w:rPr>
                <w:b/>
                <w:sz w:val="20"/>
              </w:rPr>
              <w:t>Weekly row</w:t>
            </w:r>
          </w:p>
        </w:tc>
      </w:tr>
      <w:tr>
        <w:tc>
          <w:tcPr>
            <w:tcW w:type="dxa" w:w="2376"/>
          </w:tcPr>
          <w:p>
            <w:pPr>
              <w:spacing w:after="60" w:before="40"/>
            </w:pPr>
            <w:r>
              <w:rPr>
                <w:b w:val="0"/>
                <w:sz w:val="20"/>
              </w:rPr>
              <w:t>Pathway / strand</w:t>
            </w:r>
          </w:p>
        </w:tc>
        <w:tc>
          <w:tcPr>
            <w:tcW w:type="dxa" w:w="7560"/>
          </w:tcPr>
          <w:p>
            <w:pPr>
              <w:spacing w:after="60" w:before="40"/>
            </w:pPr>
            <w:r>
              <w:rPr>
                <w:b w:val="0"/>
                <w:sz w:val="20"/>
              </w:rPr>
              <w:t>BUILD / Careers · Year A</w:t>
            </w:r>
          </w:p>
        </w:tc>
      </w:tr>
      <w:tr>
        <w:tc>
          <w:tcPr>
            <w:tcW w:type="dxa" w:w="2376"/>
          </w:tcPr>
          <w:p>
            <w:pPr>
              <w:spacing w:after="60" w:before="40"/>
            </w:pPr>
            <w:r>
              <w:rPr>
                <w:b w:val="0"/>
                <w:sz w:val="20"/>
              </w:rPr>
              <w:t>Term theme</w:t>
            </w:r>
          </w:p>
        </w:tc>
        <w:tc>
          <w:tcPr>
            <w:tcW w:type="dxa" w:w="7560"/>
          </w:tcPr>
          <w:p>
            <w:pPr>
              <w:spacing w:after="60" w:before="40"/>
            </w:pPr>
            <w:r>
              <w:rPr>
                <w:b w:val="0"/>
                <w:sz w:val="20"/>
              </w:rPr>
              <w:t>Identity &amp; Belonging</w:t>
            </w:r>
          </w:p>
        </w:tc>
      </w:tr>
      <w:tr>
        <w:tc>
          <w:tcPr>
            <w:tcW w:type="dxa" w:w="2376"/>
          </w:tcPr>
          <w:p>
            <w:pPr>
              <w:spacing w:after="60" w:before="40"/>
            </w:pPr>
            <w:r>
              <w:rPr>
                <w:b w:val="0"/>
                <w:sz w:val="20"/>
              </w:rPr>
              <w:t>Week / duration</w:t>
            </w:r>
          </w:p>
        </w:tc>
        <w:tc>
          <w:tcPr>
            <w:tcW w:type="dxa" w:w="7560"/>
          </w:tcPr>
          <w:p>
            <w:pPr>
              <w:spacing w:after="60" w:before="40"/>
            </w:pPr>
            <w:r>
              <w:rPr>
                <w:b w:val="0"/>
                <w:sz w:val="20"/>
              </w:rPr>
              <w:t>Week beginning 16 November 2026; one 40-minute lesson</w:t>
            </w:r>
          </w:p>
        </w:tc>
      </w:tr>
      <w:tr>
        <w:tc>
          <w:tcPr>
            <w:tcW w:type="dxa" w:w="2376"/>
          </w:tcPr>
          <w:p>
            <w:pPr>
              <w:spacing w:after="60" w:before="40"/>
            </w:pPr>
            <w:r>
              <w:rPr>
                <w:b w:val="0"/>
                <w:sz w:val="20"/>
              </w:rPr>
              <w:t>Actual teaching date</w:t>
            </w:r>
          </w:p>
        </w:tc>
        <w:tc>
          <w:tcPr>
            <w:tcW w:type="dxa" w:w="7560"/>
          </w:tcPr>
          <w:p>
            <w:pPr>
              <w:spacing w:after="60" w:before="40"/>
            </w:pPr>
            <w:r>
              <w:rPr>
                <w:b w:val="0"/>
                <w:sz w:val="20"/>
              </w:rPr>
              <w:t>____________________________</w:t>
            </w:r>
          </w:p>
        </w:tc>
      </w:tr>
      <w:tr>
        <w:tc>
          <w:tcPr>
            <w:tcW w:type="dxa" w:w="2376"/>
          </w:tcPr>
          <w:p>
            <w:pPr>
              <w:spacing w:after="60" w:before="40"/>
            </w:pPr>
            <w:r>
              <w:rPr>
                <w:b w:val="0"/>
                <w:sz w:val="20"/>
              </w:rPr>
              <w:t>Objective</w:t>
            </w:r>
          </w:p>
        </w:tc>
        <w:tc>
          <w:tcPr>
            <w:tcW w:type="dxa" w:w="7560"/>
          </w:tcPr>
          <w:p>
            <w:pPr>
              <w:spacing w:after="60" w:before="40"/>
            </w:pPr>
            <w:r>
              <w:rPr>
                <w:b w:val="0"/>
                <w:sz w:val="20"/>
              </w:rPr>
              <w:t>Follow a two-step work instruction and check the result.</w:t>
            </w:r>
          </w:p>
        </w:tc>
      </w:tr>
      <w:tr>
        <w:tc>
          <w:tcPr>
            <w:tcW w:type="dxa" w:w="2376"/>
          </w:tcPr>
          <w:p>
            <w:pPr>
              <w:spacing w:after="60" w:before="40"/>
            </w:pPr>
            <w:r>
              <w:rPr>
                <w:b w:val="0"/>
                <w:sz w:val="20"/>
              </w:rPr>
              <w:t>Source</w:t>
            </w:r>
          </w:p>
        </w:tc>
        <w:tc>
          <w:tcPr>
            <w:tcW w:type="dxa" w:w="7560"/>
          </w:tcPr>
          <w:p>
            <w:pPr>
              <w:spacing w:after="60" w:before="40"/>
            </w:pPr>
            <w:r>
              <w:rPr>
                <w:b w:val="0"/>
                <w:sz w:val="20"/>
              </w:rPr>
              <w:t>Owner-approved Careers outline; revision approved-2026-10-26</w:t>
            </w:r>
          </w:p>
        </w:tc>
      </w:tr>
      <w:tr>
        <w:tc>
          <w:tcPr>
            <w:tcW w:type="dxa" w:w="2376"/>
          </w:tcPr>
          <w:p>
            <w:pPr>
              <w:spacing w:after="60" w:before="40"/>
            </w:pPr>
            <w:r>
              <w:rPr>
                <w:b w:val="0"/>
                <w:sz w:val="20"/>
              </w:rPr>
              <w:t>Unit</w:t>
            </w:r>
          </w:p>
        </w:tc>
        <w:tc>
          <w:tcPr>
            <w:tcW w:type="dxa" w:w="7560"/>
          </w:tcPr>
          <w:p>
            <w:pPr>
              <w:spacing w:after="60" w:before="40"/>
            </w:pPr>
            <w:r>
              <w:rPr>
                <w:b w:val="0"/>
                <w:sz w:val="20"/>
              </w:rPr>
              <w:t>Following instructions and asking for clarity</w:t>
            </w:r>
          </w:p>
        </w:tc>
      </w:tr>
      <w:tr>
        <w:tc>
          <w:tcPr>
            <w:tcW w:type="dxa" w:w="2376"/>
          </w:tcPr>
          <w:p>
            <w:pPr>
              <w:spacing w:after="60" w:before="40"/>
            </w:pPr>
            <w:r>
              <w:rPr>
                <w:b w:val="0"/>
                <w:sz w:val="20"/>
              </w:rPr>
              <w:t>Thread tags</w:t>
            </w:r>
          </w:p>
        </w:tc>
        <w:tc>
          <w:tcPr>
            <w:tcW w:type="dxa" w:w="7560"/>
          </w:tcPr>
          <w:p>
            <w:pPr>
              <w:spacing w:after="60" w:before="40"/>
            </w:pPr>
            <w:r>
              <w:rPr>
                <w:b w:val="0"/>
                <w:sz w:val="20"/>
              </w:rPr>
              <w:t>Thread tags: SMSC S/So (M/C: none); British Values IL/MR (D/RL/T: none).</w:t>
            </w:r>
          </w:p>
        </w:tc>
      </w:tr>
      <w:tr>
        <w:tc>
          <w:tcPr>
            <w:tcW w:type="dxa" w:w="2376"/>
          </w:tcPr>
          <w:p>
            <w:pPr>
              <w:spacing w:after="60" w:before="40"/>
            </w:pPr>
            <w:r>
              <w:rPr>
                <w:b w:val="0"/>
                <w:sz w:val="20"/>
              </w:rPr>
              <w:t>Planned activity</w:t>
            </w:r>
          </w:p>
        </w:tc>
        <w:tc>
          <w:tcPr>
            <w:tcW w:type="dxa" w:w="7560"/>
          </w:tcPr>
          <w:p>
            <w:pPr>
              <w:spacing w:after="60" w:before="40"/>
            </w:pPr>
            <w:r>
              <w:rPr>
                <w:b w:val="0"/>
                <w:sz w:val="20"/>
              </w:rPr>
              <w:t>Use four minutes to order the two picture cards and keep a record of the first choice. Use five minutes to carry out the two packing steps on the printed tray mat. Use three minutes to compare the pack with the picture, identify help used and correct an error if needed. For Aspire, use a separate mock pack with one extra or missing square.</w:t>
            </w:r>
          </w:p>
        </w:tc>
      </w:tr>
      <w:tr>
        <w:tc>
          <w:tcPr>
            <w:tcW w:type="dxa" w:w="2376"/>
          </w:tcPr>
          <w:p>
            <w:pPr>
              <w:spacing w:after="60" w:before="40"/>
            </w:pPr>
            <w:r>
              <w:rPr>
                <w:b w:val="0"/>
                <w:sz w:val="20"/>
              </w:rPr>
              <w:t>Evidence</w:t>
            </w:r>
          </w:p>
        </w:tc>
        <w:tc>
          <w:tcPr>
            <w:tcW w:type="dxa" w:w="7560"/>
          </w:tcPr>
          <w:p>
            <w:pPr>
              <w:spacing w:after="60" w:before="40"/>
            </w:pPr>
            <w:r>
              <w:rPr>
                <w:b w:val="0"/>
                <w:sz w:val="20"/>
              </w:rPr>
              <w:t>Sequenced instructions, the completed task and an observation recording accuracy and prompts.</w:t>
            </w:r>
          </w:p>
        </w:tc>
      </w:tr>
      <w:tr>
        <w:tc>
          <w:tcPr>
            <w:tcW w:type="dxa" w:w="2376"/>
          </w:tcPr>
          <w:p>
            <w:pPr>
              <w:spacing w:after="60" w:before="40"/>
            </w:pPr>
            <w:r>
              <w:rPr>
                <w:b w:val="0"/>
                <w:sz w:val="20"/>
              </w:rPr>
              <w:t>Where this leads</w:t>
            </w:r>
          </w:p>
        </w:tc>
        <w:tc>
          <w:tcPr>
            <w:tcW w:type="dxa" w:w="7560"/>
          </w:tcPr>
          <w:p>
            <w:pPr>
              <w:spacing w:after="60" w:before="40"/>
            </w:pPr>
            <w:r>
              <w:rPr>
                <w:b w:val="0"/>
                <w:sz w:val="20"/>
              </w:rPr>
              <w:t>This helps me follow instructions and check my work.</w:t>
            </w:r>
          </w:p>
        </w:tc>
      </w:tr>
      <w:tr>
        <w:tc>
          <w:tcPr>
            <w:tcW w:type="dxa" w:w="2376"/>
          </w:tcPr>
          <w:p>
            <w:pPr>
              <w:spacing w:after="60" w:before="40"/>
            </w:pPr>
            <w:r>
              <w:rPr>
                <w:b w:val="0"/>
                <w:sz w:val="20"/>
              </w:rPr>
              <w:t>Access</w:t>
            </w:r>
          </w:p>
        </w:tc>
        <w:tc>
          <w:tcPr>
            <w:tcW w:type="dxa" w:w="7560"/>
          </w:tcPr>
          <w:p>
            <w:pPr>
              <w:spacing w:after="60" w:before="40"/>
            </w:pPr>
            <w:r>
              <w:rPr>
                <w:b w:val="0"/>
                <w:sz w:val="20"/>
              </w:rPr>
              <w:t>Supported / Independent / Aspire. Read, point, speak, draw, write, scribe or use the usual aid. Record actual prompts.</w:t>
            </w:r>
          </w:p>
        </w:tc>
      </w:tr>
      <w:tr>
        <w:tc>
          <w:tcPr>
            <w:tcW w:type="dxa" w:w="2376"/>
          </w:tcPr>
          <w:p>
            <w:pPr>
              <w:spacing w:after="60" w:before="40"/>
            </w:pPr>
            <w:r>
              <w:rPr>
                <w:b w:val="0"/>
                <w:sz w:val="20"/>
              </w:rPr>
              <w:t>Assessment</w:t>
            </w:r>
          </w:p>
        </w:tc>
        <w:tc>
          <w:tcPr>
            <w:tcW w:type="dxa" w:w="7560"/>
          </w:tcPr>
          <w:p>
            <w:pPr>
              <w:spacing w:after="60" w:before="40"/>
            </w:pPr>
            <w:r>
              <w:rPr>
                <w:b w:val="0"/>
                <w:sz w:val="20"/>
              </w:rPr>
              <w:t>Formative. Week 7 is assessing. No attainment or evidence banking is prefilled.</w:t>
            </w:r>
          </w:p>
        </w:tc>
      </w:tr>
    </w:tbl>
    <w:p>
      <w:r>
        <w:rPr>
          <w:b w:val="0"/>
          <w:sz w:val="18"/>
        </w:rPr>
        <w:t>The qualification and the accredited unit: staff confirm any mapping from actual evidence. No day or clock slot is inferred.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CAREERS-BUILD-A2-W03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 the steps</dc:title>
  <dc:subject>CAREERS-BUILD-A2-W03</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