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Follow the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step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One part of a task.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first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The part that comes before the rest.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next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The part that comes after this one.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pack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the needed items in a set.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check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Look to see if the result is right.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tray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space used to hold the cards.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result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What is there when the task is done.</w:t>
            </w:r>
          </w:p>
        </w:tc>
      </w:tr>
    </w:tbl>
    <w:p>
      <w:pPr>
        <w:pStyle w:val="Heading1"/>
      </w:pPr>
      <w:r>
        <w:rPr>
          <w:b w:val="0"/>
        </w:rPr>
        <w:t>Words for the task</w:t>
      </w:r>
    </w:p>
    <w:p>
      <w:r>
        <w:rPr>
          <w:b w:val="0"/>
          <w:sz w:val="28"/>
        </w:rPr>
        <w:t>First ______. Next ______.</w:t>
        <w:br/>
        <w:t>The check shows ______.</w:t>
        <w:br/>
        <w:t>The help needed was ______.</w:t>
      </w:r>
    </w:p>
    <w:p>
      <w:r>
        <w:rPr>
          <w:b w:val="0"/>
          <w:sz w:val="24"/>
        </w:rPr>
        <w:t>Point, say, draw or write. An adult can note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the steps</dc:title>
  <dc:subject>CAREERS-BUILD-A2-W03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