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Weekly plan row</w:t>
      </w:r>
    </w:p>
    <w:p>
      <w:r>
        <w:rPr>
          <w:b/>
        </w:rPr>
        <w:t>Ask when unsure</w:t>
      </w:r>
    </w:p>
    <w:tbl>
      <w:tblPr>
        <w:tblStyle w:val="TableGrid"/>
        <w:tblW w:type="auto" w:w="0"/>
        <w:tblLayout w:type="fixed"/>
        <w:tblLook w:firstColumn="1" w:firstRow="1" w:lastColumn="0" w:lastRow="0" w:noHBand="0" w:noVBand="1" w:val="04A0"/>
      </w:tblPr>
      <w:tblGrid>
        <w:gridCol w:w="2376"/>
        <w:gridCol w:w="7560"/>
      </w:tblGrid>
      <w:tr>
        <w:trPr>
          <w:tblHeader/>
        </w:trPr>
        <w:tc>
          <w:tcPr>
            <w:tcW w:type="dxa" w:w="2376"/>
          </w:tcPr>
          <w:p>
            <w:pPr>
              <w:spacing w:after="60" w:before="40"/>
            </w:pPr>
            <w:r>
              <w:rPr>
                <w:b/>
                <w:sz w:val="20"/>
              </w:rPr>
              <w:t>Plan field</w:t>
            </w:r>
          </w:p>
        </w:tc>
        <w:tc>
          <w:tcPr>
            <w:tcW w:type="dxa" w:w="7560"/>
          </w:tcPr>
          <w:p>
            <w:pPr>
              <w:spacing w:after="60" w:before="40"/>
            </w:pPr>
            <w:r>
              <w:rPr>
                <w:b/>
                <w:sz w:val="20"/>
              </w:rPr>
              <w:t>Weekly row</w:t>
            </w:r>
          </w:p>
        </w:tc>
      </w:tr>
      <w:tr>
        <w:tc>
          <w:tcPr>
            <w:tcW w:type="dxa" w:w="2376"/>
          </w:tcPr>
          <w:p>
            <w:pPr>
              <w:spacing w:after="60" w:before="40"/>
            </w:pPr>
            <w:r>
              <w:rPr>
                <w:b w:val="0"/>
                <w:sz w:val="20"/>
              </w:rPr>
              <w:t>Pathway / strand</w:t>
            </w:r>
          </w:p>
        </w:tc>
        <w:tc>
          <w:tcPr>
            <w:tcW w:type="dxa" w:w="7560"/>
          </w:tcPr>
          <w:p>
            <w:pPr>
              <w:spacing w:after="60" w:before="40"/>
            </w:pPr>
            <w:r>
              <w:rPr>
                <w:b w:val="0"/>
                <w:sz w:val="20"/>
              </w:rPr>
              <w:t>BUILD / Careers · Year A</w:t>
            </w:r>
          </w:p>
        </w:tc>
      </w:tr>
      <w:tr>
        <w:tc>
          <w:tcPr>
            <w:tcW w:type="dxa" w:w="2376"/>
          </w:tcPr>
          <w:p>
            <w:pPr>
              <w:spacing w:after="60" w:before="40"/>
            </w:pPr>
            <w:r>
              <w:rPr>
                <w:b w:val="0"/>
                <w:sz w:val="20"/>
              </w:rPr>
              <w:t>Term theme</w:t>
            </w:r>
          </w:p>
        </w:tc>
        <w:tc>
          <w:tcPr>
            <w:tcW w:type="dxa" w:w="7560"/>
          </w:tcPr>
          <w:p>
            <w:pPr>
              <w:spacing w:after="60" w:before="40"/>
            </w:pPr>
            <w:r>
              <w:rPr>
                <w:b w:val="0"/>
                <w:sz w:val="20"/>
              </w:rPr>
              <w:t>Identity &amp; Belonging</w:t>
            </w:r>
          </w:p>
        </w:tc>
      </w:tr>
      <w:tr>
        <w:tc>
          <w:tcPr>
            <w:tcW w:type="dxa" w:w="2376"/>
          </w:tcPr>
          <w:p>
            <w:pPr>
              <w:spacing w:after="60" w:before="40"/>
            </w:pPr>
            <w:r>
              <w:rPr>
                <w:b w:val="0"/>
                <w:sz w:val="20"/>
              </w:rPr>
              <w:t>Week / duration</w:t>
            </w:r>
          </w:p>
        </w:tc>
        <w:tc>
          <w:tcPr>
            <w:tcW w:type="dxa" w:w="7560"/>
          </w:tcPr>
          <w:p>
            <w:pPr>
              <w:spacing w:after="60" w:before="40"/>
            </w:pPr>
            <w:r>
              <w:rPr>
                <w:b w:val="0"/>
                <w:sz w:val="20"/>
              </w:rPr>
              <w:t>Week beginning 23 November 2026; one 40-minute lesson</w:t>
            </w:r>
          </w:p>
        </w:tc>
      </w:tr>
      <w:tr>
        <w:tc>
          <w:tcPr>
            <w:tcW w:type="dxa" w:w="2376"/>
          </w:tcPr>
          <w:p>
            <w:pPr>
              <w:spacing w:after="60" w:before="40"/>
            </w:pPr>
            <w:r>
              <w:rPr>
                <w:b w:val="0"/>
                <w:sz w:val="20"/>
              </w:rPr>
              <w:t>Actual teaching date</w:t>
            </w:r>
          </w:p>
        </w:tc>
        <w:tc>
          <w:tcPr>
            <w:tcW w:type="dxa" w:w="7560"/>
          </w:tcPr>
          <w:p>
            <w:pPr>
              <w:spacing w:after="60" w:before="40"/>
            </w:pPr>
            <w:r>
              <w:rPr>
                <w:b w:val="0"/>
                <w:sz w:val="20"/>
              </w:rPr>
              <w:t>____________________________</w:t>
            </w:r>
          </w:p>
        </w:tc>
      </w:tr>
      <w:tr>
        <w:tc>
          <w:tcPr>
            <w:tcW w:type="dxa" w:w="2376"/>
          </w:tcPr>
          <w:p>
            <w:pPr>
              <w:spacing w:after="60" w:before="40"/>
            </w:pPr>
            <w:r>
              <w:rPr>
                <w:b w:val="0"/>
                <w:sz w:val="20"/>
              </w:rPr>
              <w:t>Objective</w:t>
            </w:r>
          </w:p>
        </w:tc>
        <w:tc>
          <w:tcPr>
            <w:tcW w:type="dxa" w:w="7560"/>
          </w:tcPr>
          <w:p>
            <w:pPr>
              <w:spacing w:after="60" w:before="40"/>
            </w:pPr>
            <w:r>
              <w:rPr>
                <w:b w:val="0"/>
                <w:sz w:val="20"/>
              </w:rPr>
              <w:t>Ask a clear question when a work instruction is unclear.</w:t>
            </w:r>
          </w:p>
        </w:tc>
      </w:tr>
      <w:tr>
        <w:tc>
          <w:tcPr>
            <w:tcW w:type="dxa" w:w="2376"/>
          </w:tcPr>
          <w:p>
            <w:pPr>
              <w:spacing w:after="60" w:before="40"/>
            </w:pPr>
            <w:r>
              <w:rPr>
                <w:b w:val="0"/>
                <w:sz w:val="20"/>
              </w:rPr>
              <w:t>Source</w:t>
            </w:r>
          </w:p>
        </w:tc>
        <w:tc>
          <w:tcPr>
            <w:tcW w:type="dxa" w:w="7560"/>
          </w:tcPr>
          <w:p>
            <w:pPr>
              <w:spacing w:after="60" w:before="40"/>
            </w:pPr>
            <w:r>
              <w:rPr>
                <w:b w:val="0"/>
                <w:sz w:val="20"/>
              </w:rPr>
              <w:t>Owner-approved Careers outline; revision approved-2026-10-26</w:t>
            </w:r>
          </w:p>
        </w:tc>
      </w:tr>
      <w:tr>
        <w:tc>
          <w:tcPr>
            <w:tcW w:type="dxa" w:w="2376"/>
          </w:tcPr>
          <w:p>
            <w:pPr>
              <w:spacing w:after="60" w:before="40"/>
            </w:pPr>
            <w:r>
              <w:rPr>
                <w:b w:val="0"/>
                <w:sz w:val="20"/>
              </w:rPr>
              <w:t>Unit</w:t>
            </w:r>
          </w:p>
        </w:tc>
        <w:tc>
          <w:tcPr>
            <w:tcW w:type="dxa" w:w="7560"/>
          </w:tcPr>
          <w:p>
            <w:pPr>
              <w:spacing w:after="60" w:before="40"/>
            </w:pPr>
            <w:r>
              <w:rPr>
                <w:b w:val="0"/>
                <w:sz w:val="20"/>
              </w:rPr>
              <w:t>Following instructions and asking for clarity</w:t>
            </w:r>
          </w:p>
        </w:tc>
      </w:tr>
      <w:tr>
        <w:tc>
          <w:tcPr>
            <w:tcW w:type="dxa" w:w="2376"/>
          </w:tcPr>
          <w:p>
            <w:pPr>
              <w:spacing w:after="60" w:before="40"/>
            </w:pPr>
            <w:r>
              <w:rPr>
                <w:b w:val="0"/>
                <w:sz w:val="20"/>
              </w:rPr>
              <w:t>Thread tags</w:t>
            </w:r>
          </w:p>
        </w:tc>
        <w:tc>
          <w:tcPr>
            <w:tcW w:type="dxa" w:w="7560"/>
          </w:tcPr>
          <w:p>
            <w:pPr>
              <w:spacing w:after="60" w:before="40"/>
            </w:pPr>
            <w:r>
              <w:rPr>
                <w:b w:val="0"/>
                <w:sz w:val="20"/>
              </w:rPr>
              <w:t>Thread tags: SMSC S/So (M/C: none); British Values IL/MR (D/RL/T: none).</w:t>
            </w:r>
          </w:p>
        </w:tc>
      </w:tr>
      <w:tr>
        <w:tc>
          <w:tcPr>
            <w:tcW w:type="dxa" w:w="2376"/>
          </w:tcPr>
          <w:p>
            <w:pPr>
              <w:spacing w:after="60" w:before="40"/>
            </w:pPr>
            <w:r>
              <w:rPr>
                <w:b w:val="0"/>
                <w:sz w:val="20"/>
              </w:rPr>
              <w:t>Planned activity</w:t>
            </w:r>
          </w:p>
        </w:tc>
        <w:tc>
          <w:tcPr>
            <w:tcW w:type="dxa" w:w="7560"/>
          </w:tcPr>
          <w:p>
            <w:pPr>
              <w:spacing w:after="60" w:before="40"/>
            </w:pPr>
            <w:r>
              <w:rPr>
                <w:b w:val="0"/>
                <w:sz w:val="20"/>
              </w:rPr>
              <w:t>Use three minutes to spot the missing detail on a job card. Use six minutes for the learner to ask, hear or read the fixed adult reply, show understanding and carry out the action. Use three minutes to record the chain and try a further card or question. Every route captures at least one complete question, reply, understanding and action chain. Reset the tray mats between cards.</w:t>
            </w:r>
          </w:p>
        </w:tc>
      </w:tr>
      <w:tr>
        <w:tc>
          <w:tcPr>
            <w:tcW w:type="dxa" w:w="2376"/>
          </w:tcPr>
          <w:p>
            <w:pPr>
              <w:spacing w:after="60" w:before="40"/>
            </w:pPr>
            <w:r>
              <w:rPr>
                <w:b w:val="0"/>
                <w:sz w:val="20"/>
              </w:rPr>
              <w:t>Evidence</w:t>
            </w:r>
          </w:p>
        </w:tc>
        <w:tc>
          <w:tcPr>
            <w:tcW w:type="dxa" w:w="7560"/>
          </w:tcPr>
          <w:p>
            <w:pPr>
              <w:spacing w:after="60" w:before="40"/>
            </w:pPr>
            <w:r>
              <w:rPr>
                <w:b w:val="0"/>
                <w:sz w:val="20"/>
              </w:rPr>
              <w:t>The learner’s question, the reply understood and the action taken, with support recorded.</w:t>
            </w:r>
          </w:p>
        </w:tc>
      </w:tr>
      <w:tr>
        <w:tc>
          <w:tcPr>
            <w:tcW w:type="dxa" w:w="2376"/>
          </w:tcPr>
          <w:p>
            <w:pPr>
              <w:spacing w:after="60" w:before="40"/>
            </w:pPr>
            <w:r>
              <w:rPr>
                <w:b w:val="0"/>
                <w:sz w:val="20"/>
              </w:rPr>
              <w:t>Where this leads</w:t>
            </w:r>
          </w:p>
        </w:tc>
        <w:tc>
          <w:tcPr>
            <w:tcW w:type="dxa" w:w="7560"/>
          </w:tcPr>
          <w:p>
            <w:pPr>
              <w:spacing w:after="60" w:before="40"/>
            </w:pPr>
            <w:r>
              <w:rPr>
                <w:b w:val="0"/>
                <w:sz w:val="20"/>
              </w:rPr>
              <w:t>This helps me get the information I need to do a job.</w:t>
            </w:r>
          </w:p>
        </w:tc>
      </w:tr>
      <w:tr>
        <w:tc>
          <w:tcPr>
            <w:tcW w:type="dxa" w:w="2376"/>
          </w:tcPr>
          <w:p>
            <w:pPr>
              <w:spacing w:after="60" w:before="40"/>
            </w:pPr>
            <w:r>
              <w:rPr>
                <w:b w:val="0"/>
                <w:sz w:val="20"/>
              </w:rPr>
              <w:t>Access</w:t>
            </w:r>
          </w:p>
        </w:tc>
        <w:tc>
          <w:tcPr>
            <w:tcW w:type="dxa" w:w="7560"/>
          </w:tcPr>
          <w:p>
            <w:pPr>
              <w:spacing w:after="60" w:before="40"/>
            </w:pPr>
            <w:r>
              <w:rPr>
                <w:b w:val="0"/>
                <w:sz w:val="20"/>
              </w:rPr>
              <w:t>Supported / Independent / Aspire. Read, point, speak, draw, write, scribe or use the usual aid. Record actual prompts.</w:t>
            </w:r>
          </w:p>
        </w:tc>
      </w:tr>
      <w:tr>
        <w:tc>
          <w:tcPr>
            <w:tcW w:type="dxa" w:w="2376"/>
          </w:tcPr>
          <w:p>
            <w:pPr>
              <w:spacing w:after="60" w:before="40"/>
            </w:pPr>
            <w:r>
              <w:rPr>
                <w:b w:val="0"/>
                <w:sz w:val="20"/>
              </w:rPr>
              <w:t>Assessment</w:t>
            </w:r>
          </w:p>
        </w:tc>
        <w:tc>
          <w:tcPr>
            <w:tcW w:type="dxa" w:w="7560"/>
          </w:tcPr>
          <w:p>
            <w:pPr>
              <w:spacing w:after="60" w:before="40"/>
            </w:pPr>
            <w:r>
              <w:rPr>
                <w:b w:val="0"/>
                <w:sz w:val="20"/>
              </w:rPr>
              <w:t>Formative. Week 7 is assessing. No attainment or evidence banking is prefilled.</w:t>
            </w:r>
          </w:p>
        </w:tc>
      </w:tr>
    </w:tbl>
    <w:p>
      <w:r>
        <w:rPr>
          <w:b w:val="0"/>
          <w:sz w:val="18"/>
        </w:rPr>
        <w:t>The qualification and the accredited unit: staff confirm any mapping from actual evidence. No day or clock slot is inferred.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when unsure</dc:title>
  <dc:subject>CAREERS-BUILD-A2-W04</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