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Ask when unsure</w:t>
      </w:r>
    </w:p>
    <w:p>
      <w:r>
        <w:rPr>
          <w:b w:val="0"/>
        </w:rPr>
        <w:t>These are teaching guides. Record the learner’s actual response and support. The fictional worker cards do not describe real people, employers or vacancies.</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20"/>
              </w:rPr>
              <w:t>Card</w:t>
            </w:r>
          </w:p>
        </w:tc>
        <w:tc>
          <w:tcPr>
            <w:tcW w:type="dxa" w:w="4104"/>
          </w:tcPr>
          <w:p>
            <w:pPr>
              <w:spacing w:after="60" w:before="40"/>
            </w:pPr>
            <w:r>
              <w:rPr>
                <w:b/>
                <w:sz w:val="20"/>
              </w:rPr>
              <w:t>Judgement</w:t>
            </w:r>
          </w:p>
        </w:tc>
        <w:tc>
          <w:tcPr>
            <w:tcW w:type="dxa" w:w="4968"/>
          </w:tcPr>
          <w:p>
            <w:pPr>
              <w:spacing w:after="60" w:before="40"/>
            </w:pPr>
            <w:r>
              <w:rPr>
                <w:b/>
                <w:sz w:val="20"/>
              </w:rPr>
              <w:t>Possible action</w:t>
            </w:r>
          </w:p>
        </w:tc>
      </w:tr>
      <w:tr>
        <w:tc>
          <w:tcPr>
            <w:tcW w:type="dxa" w:w="864"/>
          </w:tcPr>
          <w:p>
            <w:pPr>
              <w:spacing w:after="60" w:before="40"/>
            </w:pPr>
            <w:r>
              <w:rPr>
                <w:b w:val="0"/>
                <w:sz w:val="20"/>
              </w:rPr>
              <w:t>A</w:t>
            </w:r>
          </w:p>
        </w:tc>
        <w:tc>
          <w:tcPr>
            <w:tcW w:type="dxa" w:w="4104"/>
          </w:tcPr>
          <w:p>
            <w:pPr>
              <w:spacing w:after="60" w:before="40"/>
            </w:pPr>
            <w:r>
              <w:rPr>
                <w:b w:val="0"/>
                <w:sz w:val="20"/>
              </w:rPr>
              <w:t>Missing detail: which tray.</w:t>
            </w:r>
          </w:p>
        </w:tc>
        <w:tc>
          <w:tcPr>
            <w:tcW w:type="dxa" w:w="4968"/>
          </w:tcPr>
          <w:p>
            <w:pPr>
              <w:spacing w:after="60" w:before="40"/>
            </w:pPr>
            <w:r>
              <w:rPr>
                <w:b w:val="0"/>
                <w:sz w:val="20"/>
              </w:rPr>
              <w:t>Relevant question: Which tray? Fixed adult reply: Use tray 2. Expected action: one circle card in tray 2.</w:t>
            </w:r>
          </w:p>
        </w:tc>
      </w:tr>
      <w:tr>
        <w:tc>
          <w:tcPr>
            <w:tcW w:type="dxa" w:w="864"/>
          </w:tcPr>
          <w:p>
            <w:pPr>
              <w:spacing w:after="60" w:before="40"/>
            </w:pPr>
            <w:r>
              <w:rPr>
                <w:b w:val="0"/>
                <w:sz w:val="20"/>
              </w:rPr>
              <w:t>B</w:t>
            </w:r>
          </w:p>
        </w:tc>
        <w:tc>
          <w:tcPr>
            <w:tcW w:type="dxa" w:w="4104"/>
          </w:tcPr>
          <w:p>
            <w:pPr>
              <w:spacing w:after="60" w:before="40"/>
            </w:pPr>
            <w:r>
              <w:rPr>
                <w:b w:val="0"/>
                <w:sz w:val="20"/>
              </w:rPr>
              <w:t>Missing detail: how many square cards.</w:t>
            </w:r>
          </w:p>
        </w:tc>
        <w:tc>
          <w:tcPr>
            <w:tcW w:type="dxa" w:w="4968"/>
          </w:tcPr>
          <w:p>
            <w:pPr>
              <w:spacing w:after="60" w:before="40"/>
            </w:pPr>
            <w:r>
              <w:rPr>
                <w:b w:val="0"/>
                <w:sz w:val="20"/>
              </w:rPr>
              <w:t>Relevant question: How many squares? Fixed adult reply: Put two square cards in tray 1. Expected action: two squares in tray 1.</w:t>
            </w:r>
          </w:p>
        </w:tc>
      </w:tr>
      <w:tr>
        <w:tc>
          <w:tcPr>
            <w:tcW w:type="dxa" w:w="864"/>
          </w:tcPr>
          <w:p>
            <w:pPr>
              <w:spacing w:after="60" w:before="40"/>
            </w:pPr>
            <w:r>
              <w:rPr>
                <w:b w:val="0"/>
                <w:sz w:val="20"/>
              </w:rPr>
              <w:t>C</w:t>
            </w:r>
          </w:p>
        </w:tc>
        <w:tc>
          <w:tcPr>
            <w:tcW w:type="dxa" w:w="4104"/>
          </w:tcPr>
          <w:p>
            <w:pPr>
              <w:spacing w:after="60" w:before="40"/>
            </w:pPr>
            <w:r>
              <w:rPr>
                <w:b w:val="0"/>
                <w:sz w:val="20"/>
              </w:rPr>
              <w:t>Missing details: which shape, how many and which tray.</w:t>
            </w:r>
          </w:p>
        </w:tc>
        <w:tc>
          <w:tcPr>
            <w:tcW w:type="dxa" w:w="4968"/>
          </w:tcPr>
          <w:p>
            <w:pPr>
              <w:spacing w:after="60" w:before="40"/>
            </w:pPr>
            <w:r>
              <w:rPr>
                <w:b w:val="0"/>
                <w:sz w:val="20"/>
              </w:rPr>
              <w:t>Adult brief: one circle card in tray 1. Answer the detail asked: circle cards; one card; tray 1. The learner asks further questions until the next action is clear.</w:t>
            </w:r>
          </w:p>
        </w:tc>
      </w:tr>
    </w:tbl>
    <w:p>
      <w:pPr>
        <w:pStyle w:val="Heading1"/>
      </w:pPr>
      <w:r>
        <w:rPr>
          <w:b w:val="0"/>
        </w:rPr>
        <w:t>Model and hinge</w:t>
      </w:r>
    </w:p>
    <w:p>
      <w:r>
        <w:rPr>
          <w:b w:val="0"/>
        </w:rPr>
        <w:t>The job card says: put the circle in a tray. One fact is missing: which tray? The worker asks: which tray should be used? The adult replies: use tray 2. The worker points to tray 2 to check. Then the worker puts the circle in tray 2.</w:t>
      </w:r>
    </w:p>
    <w:p>
      <w:r>
        <w:rPr>
          <w:b w:val="0"/>
        </w:rPr>
        <w:t>A asks for the missing detail. B is unrelated; C proposes guessing. Accept another clear form such as Where should the circle go? A selected question or communication aid can meet the question target. The adult supplies the stated reply only after the learner has asked or selected the question. Then check understanding through pointing, restatement or action.</w:t>
      </w:r>
    </w:p>
    <w:p>
      <w:pPr>
        <w:pStyle w:val="Heading1"/>
      </w:pPr>
      <w:r>
        <w:rPr>
          <w:b w:val="0"/>
        </w:rPr>
        <w:t>Individual evidence key</w:t>
      </w:r>
    </w:p>
    <w:p>
      <w:r>
        <w:rPr>
          <w:b w:val="0"/>
        </w:rPr>
        <w:t>Keep the original job card, the learner’s exact or selected question, the actual adult reply, how understanding was shown and the resulting placement. Record any prompt or repeated reply. Pointing, restatement or accurate action can show understanding. Guessing the correct tray without asking does not demonstrate this objective. Independent and Aspire routes extend the number or complexity of cases; the core evidence remains one complete chain.</w:t>
      </w:r>
    </w:p>
    <w:p>
      <w:r>
        <w:br w:type="page"/>
      </w:r>
    </w:p>
    <w:p>
      <w:pPr>
        <w:pStyle w:val="Heading1"/>
      </w:pPr>
      <w:r>
        <w:rPr>
          <w:b w:val="0"/>
        </w:rPr>
        <w:t>Feedback and next teaching</w:t>
      </w:r>
    </w:p>
    <w:p>
      <w:pPr>
        <w:pStyle w:val="Heading1"/>
      </w:pPr>
      <w:r>
        <w:rPr>
          <w:b w:val="0"/>
        </w:rPr>
        <w:t>Practical check</w:t>
      </w:r>
    </w:p>
    <w:p>
      <w:r>
        <w:rPr>
          <w:b w:val="0"/>
        </w:rPr>
        <w:t>Card A: answer Use tray 2 after a relevant question. Card B: answer Put two square cards in tray 1. Card C: the full brief is one circle card in tray 1, but reply only to the detail asked so the learner can ask again. Accept equivalent questions. Repeat the exact reply if requested and record the repeat as support. Reset all cards and trays between trials.</w:t>
      </w:r>
    </w:p>
    <w:p>
      <w:pPr>
        <w:pStyle w:val="Heading1"/>
      </w:pPr>
      <w:r>
        <w:rPr>
          <w:b w:val="0"/>
        </w:rPr>
        <w:t>Common misunderstandings</w:t>
      </w:r>
    </w:p>
    <w:p>
      <w:r>
        <w:rPr>
          <w:b w:val="0"/>
        </w:rPr>
        <w:t>Asking for a needed detail is useful work behaviour. Guessing correctly is not the same as clarifying. Repeating words without showing their meaning is incomplete evidence. A clear question can be short, pointed to or made with an aid; fluent speech and public performance are not required.</w:t>
      </w:r>
    </w:p>
    <w:p>
      <w:pPr>
        <w:pStyle w:val="Heading1"/>
      </w:pPr>
      <w:r>
        <w:rPr>
          <w:b w:val="0"/>
        </w:rPr>
        <w:t>Teaching boundary</w:t>
      </w:r>
    </w:p>
    <w:p>
      <w:r>
        <w:rPr>
          <w:b w:val="0"/>
        </w:rPr>
        <w:t>All worker profiles, job roles, employers and settings are fictional. Use only large paper cards and the supplied tray mats on a clear table. Adults prepare any cutting. No lifting, machinery, sharp tools or real workplace task is needed. Do not ask about body, family or private experiences. No names are required. Respect a pause or quiet response, with no forced partner work or public performance. A learner can query an unclear or unsafe instruction. Follow the setting’s safeguarding route if a concern is raised.</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 response in their own colour. E is recorded only when actual work is banked. Record support and unfinished work. Blank forms and adult models are not learner evidence.</w:t>
      </w:r>
    </w:p>
    <w:p>
      <w:r>
        <w:rPr>
          <w:b w:val="0"/>
        </w:rPr>
        <w:t>If work is incomplete, name the gap and arrange a supported follow-up. No qualification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CAREERS-BUILD-A2-W04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when unsure</dc:title>
  <dc:subject>CAREERS-BUILD-A2-W04</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