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Staff answers and response guide</w:t>
      </w:r>
    </w:p>
    <w:p>
      <w:r>
        <w:rPr>
          <w:b/>
          <w:sz w:val="24"/>
        </w:rPr>
        <w:t>My part in a team</w:t>
      </w:r>
    </w:p>
    <w:p>
      <w:r>
        <w:t>These are teaching guides. Record the learner’s actual response and support. The roles and settings are fictional and unnamed.</w:t>
      </w:r>
    </w:p>
    <w:p>
      <w:pPr>
        <w:pStyle w:val="Heading1"/>
      </w:pPr>
      <w:r>
        <w:t>Card key</w:t>
      </w:r>
    </w:p>
    <w:tbl>
      <w:tblPr>
        <w:tblW w:type="auto" w:w="0"/>
        <w:jc w:val="center"/>
        <w:tblLayout w:type="fixed"/>
        <w:tblLook w:firstColumn="1" w:firstRow="1" w:lastColumn="0" w:lastRow="0" w:noHBand="0" w:noVBand="1" w:val="04A0"/>
      </w:tblPr>
      <w:tblGrid>
        <w:gridCol w:w="1368"/>
        <w:gridCol w:w="4176"/>
        <w:gridCol w:w="4493"/>
      </w:tblGrid>
      <w:tr>
        <w:trPr>
          <w:cantSplit/>
          <w:tblHeader/>
        </w:trPr>
        <w:tc>
          <w:tcPr>
            <w:tcW w:type="dxa" w:w="1368"/>
            <w:vAlign w:val="center"/>
            <w:tcBorders>
              <w:top w:val="single" w:sz="5" w:color="D9D9D9"/>
              <w:left w:val="single" w:sz="5" w:color="D9D9D9"/>
              <w:bottom w:val="single" w:sz="5" w:color="D9D9D9"/>
              <w:right w:val="single" w:sz="5" w:color="D9D9D9"/>
            </w:tcBorders>
            <w:shd w:fill="E8F0EF"/>
          </w:tcPr>
          <w:p>
            <w:pPr>
              <w:spacing w:after="100" w:before="100"/>
            </w:pPr>
            <w:r>
              <w:rPr>
                <w:rFonts w:ascii="Arial" w:hAnsi="Arial"/>
                <w:b/>
                <w:sz w:val="20"/>
              </w:rPr>
              <w:t>Card</w:t>
            </w:r>
          </w:p>
        </w:tc>
        <w:tc>
          <w:tcPr>
            <w:tcW w:type="dxa" w:w="4176"/>
            <w:vAlign w:val="center"/>
            <w:tcBorders>
              <w:top w:val="single" w:sz="5" w:color="D9D9D9"/>
              <w:left w:val="single" w:sz="5" w:color="D9D9D9"/>
              <w:bottom w:val="single" w:sz="5" w:color="D9D9D9"/>
              <w:right w:val="single" w:sz="5" w:color="D9D9D9"/>
            </w:tcBorders>
            <w:shd w:fill="E8F0EF"/>
          </w:tcPr>
          <w:p>
            <w:pPr>
              <w:spacing w:after="100" w:before="100"/>
            </w:pPr>
            <w:r>
              <w:rPr>
                <w:rFonts w:ascii="Arial" w:hAnsi="Arial"/>
                <w:b/>
                <w:sz w:val="20"/>
              </w:rPr>
              <w:t>What it can show</w:t>
            </w:r>
          </w:p>
        </w:tc>
        <w:tc>
          <w:tcPr>
            <w:tcW w:type="dxa" w:w="4493"/>
            <w:vAlign w:val="center"/>
            <w:tcBorders>
              <w:top w:val="single" w:sz="5" w:color="D9D9D9"/>
              <w:left w:val="single" w:sz="5" w:color="D9D9D9"/>
              <w:bottom w:val="single" w:sz="5" w:color="D9D9D9"/>
              <w:right w:val="single" w:sz="5" w:color="D9D9D9"/>
            </w:tcBorders>
            <w:shd w:fill="E8F0EF"/>
          </w:tcPr>
          <w:p>
            <w:pPr>
              <w:spacing w:after="100" w:before="100"/>
            </w:pPr>
            <w:r>
              <w:rPr>
                <w:rFonts w:ascii="Arial" w:hAnsi="Arial"/>
                <w:b/>
                <w:sz w:val="20"/>
              </w:rPr>
              <w:t>Possible action</w:t>
            </w:r>
          </w:p>
        </w:tc>
      </w:tr>
      <w:tr>
        <w:trPr>
          <w:cantSplit/>
        </w:trPr>
        <w:tc>
          <w:tcPr>
            <w:tcW w:type="dxa" w:w="136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20"/>
              </w:rPr>
              <w:t>Sort</w:t>
            </w:r>
          </w:p>
        </w:tc>
        <w:tc>
          <w:tcPr>
            <w:tcW w:type="dxa" w:w="4176"/>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20"/>
              </w:rPr>
              <w:t>Three circles together; two squares together.</w:t>
            </w:r>
          </w:p>
        </w:tc>
        <w:tc>
          <w:tcPr>
            <w:tcW w:type="dxa" w:w="4493"/>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20"/>
              </w:rPr>
              <w:t>Pass both groups to the counter.</w:t>
            </w:r>
          </w:p>
        </w:tc>
      </w:tr>
      <w:tr>
        <w:trPr>
          <w:cantSplit/>
        </w:trPr>
        <w:tc>
          <w:tcPr>
            <w:tcW w:type="dxa" w:w="136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20"/>
              </w:rPr>
              <w:t>Count</w:t>
            </w:r>
          </w:p>
        </w:tc>
        <w:tc>
          <w:tcPr>
            <w:tcW w:type="dxa" w:w="4176"/>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20"/>
              </w:rPr>
              <w:t>Three circles and two squares.</w:t>
            </w:r>
          </w:p>
        </w:tc>
        <w:tc>
          <w:tcPr>
            <w:tcW w:type="dxa" w:w="4493"/>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20"/>
              </w:rPr>
              <w:t>Tell the checker both totals.</w:t>
            </w:r>
          </w:p>
        </w:tc>
      </w:tr>
      <w:tr>
        <w:trPr>
          <w:cantSplit/>
        </w:trPr>
        <w:tc>
          <w:tcPr>
            <w:tcW w:type="dxa" w:w="136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20"/>
              </w:rPr>
              <w:t>Check</w:t>
            </w:r>
          </w:p>
        </w:tc>
        <w:tc>
          <w:tcPr>
            <w:tcW w:type="dxa" w:w="4176"/>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20"/>
              </w:rPr>
              <w:t>Compare shape and number with the task card.</w:t>
            </w:r>
          </w:p>
        </w:tc>
        <w:tc>
          <w:tcPr>
            <w:tcW w:type="dxa" w:w="4493"/>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20"/>
              </w:rPr>
              <w:t>Tell the team whether the set matches.</w:t>
            </w:r>
          </w:p>
        </w:tc>
      </w:tr>
      <w:tr>
        <w:trPr>
          <w:cantSplit/>
        </w:trPr>
        <w:tc>
          <w:tcPr>
            <w:tcW w:type="dxa" w:w="136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20"/>
              </w:rPr>
              <w:t>Aspire</w:t>
            </w:r>
          </w:p>
        </w:tc>
        <w:tc>
          <w:tcPr>
            <w:tcW w:type="dxa" w:w="4176"/>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20"/>
              </w:rPr>
              <w:t>Separate mock set: three circles and one square.</w:t>
            </w:r>
          </w:p>
        </w:tc>
        <w:tc>
          <w:tcPr>
            <w:tcW w:type="dxa" w:w="4493"/>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20"/>
              </w:rPr>
              <w:t>One square is missing. Ask for one more and recheck.</w:t>
            </w:r>
          </w:p>
        </w:tc>
      </w:tr>
    </w:tbl>
    <w:p>
      <w:pPr>
        <w:pStyle w:val="Heading1"/>
      </w:pPr>
      <w:r>
        <w:t>Model and hinge</w:t>
      </w:r>
    </w:p>
    <w:p>
      <w:r>
        <w:t>The fictional sorter groups three circles and two squares. They say, “The cards are sorted by shape. Please count each group.” The counter counts each group and says, “Three circles and two squares. Please check the task card.” The checker compares both shape and number with the task card. The team needs three circles and two squares, all sorted by shape. Each worker can explain how their part helps the next person.</w:t>
      </w:r>
    </w:p>
    <w:p>
      <w:r>
        <w:t>A is the useful handover: it states what is done and what the next person needs to do. B leaves the next worker to guess; C takes over their role. If uncertain, show the role cards again and model a handover with a separate set. A clear point to the completed group and next role card can communicate the same message.</w:t>
      </w:r>
    </w:p>
    <w:p>
      <w:pPr>
        <w:pStyle w:val="Heading1"/>
      </w:pPr>
      <w:r>
        <w:t>Individual evidence key</w:t>
      </w:r>
    </w:p>
    <w:p>
      <w:r>
        <w:t>For each learner, record the agreed role, their actual action and accuracy, the handover words or gesture, the recipient’s response and the learner’s explanation of how that action helped. Keep prompts and changes separate. A finished team set does not prove every person contributed. Observe each learner’s own role as it happens.</w:t>
      </w:r>
    </w:p>
    <w:p>
      <w:r>
        <w:br w:type="page"/>
      </w:r>
    </w:p>
    <w:p>
      <w:pPr>
        <w:pStyle w:val="Heading1"/>
      </w:pPr>
      <w:r>
        <w:t>Feedback and next teaching</w:t>
      </w:r>
    </w:p>
    <w:p>
      <w:pPr>
        <w:pStyle w:val="Heading1"/>
      </w:pPr>
      <w:r>
        <w:t>Practical check</w:t>
      </w:r>
    </w:p>
    <w:p>
      <w:r>
        <w:t>Expected result: three circles and two squares in two shape groups. Sorter groups by shape; counter finds 3 and 2; checker compares the set with the task card. For Aspire only, prepare a separate mock set with three circles and one square. It is one square short. Keep the mock task separate from the first team attempt.</w:t>
      </w:r>
    </w:p>
    <w:p>
      <w:pPr>
        <w:pStyle w:val="Heading1"/>
      </w:pPr>
      <w:r>
        <w:t>Common misunderstandings</w:t>
      </w:r>
    </w:p>
    <w:p>
      <w:r>
        <w:t>A team role is an agreed contribution, not a rank. A fast or loud learner is not automatically the strongest contributor. Copying the adult’s handover does not show an independent explanation. The count alone does not prove the sorting or checking role was completed.</w:t>
      </w:r>
    </w:p>
    <w:p>
      <w:pPr>
        <w:pStyle w:val="Heading1"/>
      </w:pPr>
      <w:r>
        <w:t>Teaching boundary</w:t>
      </w:r>
    </w:p>
    <w:p>
      <w:r>
        <w:t>Use fictional unnamed jobs, employers and settings. Use large paper cards on a clear table; adults prepare cutting. No machinery, lifting or real workplace task is needed. Do not ask about body, family or private experiences. Allow an adult partner, a quiet response, a communication aid or a pause. Learners can query unclear or unsafe instructions. Follow the setting’s usual route if a concern is raised.</w:t>
      </w:r>
    </w:p>
    <w:p>
      <w:pPr>
        <w:pStyle w:val="Heading1"/>
      </w:pPr>
      <w:r>
        <w:t>Staff substitution note</w:t>
      </w:r>
    </w:p>
    <w:p>
      <w:r>
        <w:t>Use the supplied paper cards by default. If replacing them with safe familiar classroom materials, keep the same roles, counts, sequence and evidence target. Record the substitution and support. Do not change the approved objective. For Week 6, a missing earlier example must stay marked missing; any new task carries its actual date.</w:t>
      </w:r>
    </w:p>
    <w:p>
      <w:pPr>
        <w:pStyle w:val="Heading1"/>
      </w:pPr>
      <w:r>
        <w:t>Feedback and follow up</w:t>
      </w:r>
    </w:p>
    <w:p>
      <w:r>
        <w:t>Use VF · WS · I · NS+ (Yellow Box) · // self-edit · ? read back · R responded · E evidence in the evidence record. R requires Voice, Audience, a specific NS+ prompt and the learner response in their own colour. E is recorded only when actual work is banked. Record support and unfinished work. Blank forms and adult models are not learner evidence.</w:t>
      </w:r>
    </w:p>
    <w:p>
      <w:r>
        <w:t>If work is incomplete, name the gap and arrange a supported follow-up. No qualification completion is claimed.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5"/>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CAREERS-BUILD-A2-W05 · Shared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part in a team</dc:title>
  <dc:subject>CAREERS-BUILD-A2-W05</dc:subject>
  <dc:creator/>
  <cp:keywords/>
  <dc:description/>
  <cp:lastModifiedBy/>
  <cp:revision>1</cp:revision>
  <dcterms:created xsi:type="dcterms:W3CDTF">2013-12-23T23:15:00Z</dcterms:created>
  <dcterms:modified xsi:type="dcterms:W3CDTF">2013-12-23T23:15:00Z</dcterms:modified>
  <cp:category/>
</cp:coreProperties>
</file>