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answers and response guide</w:t>
      </w:r>
    </w:p>
    <w:p>
      <w:r>
        <w:rPr>
          <w:b/>
          <w:sz w:val="24"/>
        </w:rPr>
        <w:t>Show a skill</w:t>
      </w:r>
    </w:p>
    <w:p>
      <w:r>
        <w:t>These are teaching guides. Record the learner’s actual response and support. The roles and settings are fictional and unnamed.</w:t>
      </w:r>
    </w:p>
    <w:p>
      <w:pPr>
        <w:pStyle w:val="Heading1"/>
      </w:pPr>
      <w:r>
        <w:t>Card key</w:t>
      </w:r>
    </w:p>
    <w:tbl>
      <w:tblPr>
        <w:tblW w:type="auto" w:w="0"/>
        <w:jc w:val="center"/>
        <w:tblLayout w:type="fixed"/>
        <w:tblLook w:firstColumn="1" w:firstRow="1" w:lastColumn="0" w:lastRow="0" w:noHBand="0" w:noVBand="1" w:val="04A0"/>
      </w:tblPr>
      <w:tblGrid>
        <w:gridCol w:w="1368"/>
        <w:gridCol w:w="4176"/>
        <w:gridCol w:w="4493"/>
      </w:tblGrid>
      <w:tr>
        <w:trPr>
          <w:cantSplit/>
          <w:tblHeader/>
        </w:trPr>
        <w:tc>
          <w:tcPr>
            <w:tcW w:type="dxa" w:w="136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20"/>
              </w:rPr>
              <w:t>Card</w:t>
            </w:r>
          </w:p>
        </w:tc>
        <w:tc>
          <w:tcPr>
            <w:tcW w:type="dxa" w:w="4176"/>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20"/>
              </w:rPr>
              <w:t>What it can show</w:t>
            </w:r>
          </w:p>
        </w:tc>
        <w:tc>
          <w:tcPr>
            <w:tcW w:type="dxa" w:w="4493"/>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20"/>
              </w:rPr>
              <w:t>Possible action</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Packer</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A record of following two packing steps in order.</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Link to reading a job card and packing the right shapes.</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Stock helper</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A record of sorting or counting shape cards.</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Link to sorting or counting paper stock.</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Team helper</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An observed clear handover and response.</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Link to passing completed work with a clear note.</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Missing work</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No actual example can yet be found.</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Mark the gap; arrange a dated recovery task or find the existing record.</w:t>
            </w:r>
          </w:p>
        </w:tc>
      </w:tr>
    </w:tbl>
    <w:p>
      <w:pPr>
        <w:pStyle w:val="Heading1"/>
      </w:pPr>
      <w:r>
        <w:t>Model and hinge</w:t>
      </w:r>
    </w:p>
    <w:p>
      <w:r>
        <w:t>Use only the fictional model on Support Cards page 2. The model worker sorted three circles and two squares into the right groups; an adult observed the action. The skill is sorting by shape. This could help the stock helper sort paper cards. A next step is to count each group and record the totals. This model teaches the link and must not be filed as a learner’s work.</w:t>
      </w:r>
    </w:p>
    <w:p>
      <w:r>
        <w:t>A supports the claim: actual work and a precise observation show the skill and its link to the role. B is an unsupported claim; C is someone else’s work. Ask the learner to point to the part of their selected work that supports the skill. If it does not support that skill, revise the claim or choose a different example. Do not infer a skill from a job picture alone.</w:t>
      </w:r>
    </w:p>
    <w:p>
      <w:pPr>
        <w:pStyle w:val="Heading1"/>
      </w:pPr>
      <w:r>
        <w:t>Individual evidence key</w:t>
      </w:r>
    </w:p>
    <w:p>
      <w:r>
        <w:t>Keep a specific work reference and date, what the example actually shows, one skill, the chosen fictional role and task, the learner’s explanation of the link, and one next step. Record support and the adult’s reply. Mark missing, unclear or unverified evidence explicitly. A role match is a teaching judgement, not proof of job readiness or qualification completion.</w:t>
      </w:r>
    </w:p>
    <w:p>
      <w:r>
        <w:br w:type="page"/>
      </w:r>
    </w:p>
    <w:p>
      <w:pPr>
        <w:pStyle w:val="Heading1"/>
      </w:pPr>
      <w:r>
        <w:t>Feedback and next teaching</w:t>
      </w:r>
    </w:p>
    <w:p>
      <w:pPr>
        <w:pStyle w:val="Heading1"/>
      </w:pPr>
      <w:r>
        <w:t>Practical check</w:t>
      </w:r>
    </w:p>
    <w:p>
      <w:r>
        <w:t>Valid links depend on the actual work: accurate shape grouping may support the stock helper role; a recorded two-step packing sequence may support the packer role; a clear observed handover may support the team helper role. More than one reasoned match can be valid. Checking the pack does not prove independent counting unless counting was observed. A copied model or blank form is not learner evidence.</w:t>
      </w:r>
    </w:p>
    <w:p>
      <w:pPr>
        <w:pStyle w:val="Heading1"/>
      </w:pPr>
      <w:r>
        <w:t>Common misunderstandings</w:t>
      </w:r>
    </w:p>
    <w:p>
      <w:r>
        <w:t>Liking a job does not by itself show a skill. An adult model shows how to explain, not what the learner has done. A learner may describe help they used and still identify a skill. A gap is a reason to plan the next step, not a reason to invent a record.</w:t>
      </w:r>
    </w:p>
    <w:p>
      <w:pPr>
        <w:pStyle w:val="Heading1"/>
      </w:pPr>
      <w:r>
        <w:t>Teaching boundary</w:t>
      </w:r>
    </w:p>
    <w:p>
      <w:r>
        <w:t>Use fictional unnamed jobs, employers and settings. Use large paper cards on a clear table; adults prepare cutting. No machinery, lifting or real workplace task is needed. Do not ask about body, family or private experiences. Allow an adult partner, a quiet response, a communication aid or a pause. Learners can query unclear or unsafe instructions. Follow the setting’s usual route if a concern is raised.</w:t>
      </w:r>
    </w:p>
    <w:p>
      <w:pPr>
        <w:pStyle w:val="Heading1"/>
      </w:pPr>
      <w:r>
        <w:t>Staff substitution note</w:t>
      </w:r>
    </w:p>
    <w:p>
      <w:r>
        <w:t>Use the supplied paper cards by default. If replacing them with safe familiar classroom materials, keep the same roles, counts, sequence and evidence target. Record the substitution and support. Do not change the approved objective. For Week 6, a missing earlier example must stay marked missing; any new task carries its actual date.</w:t>
      </w:r>
    </w:p>
    <w:p>
      <w:pPr>
        <w:pStyle w:val="Heading1"/>
      </w:pPr>
      <w:r>
        <w:t>Feedback and follow up</w:t>
      </w:r>
    </w:p>
    <w:p>
      <w: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CAREERS-BUILD-A2-W06 · Shared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a skill</dc:title>
  <dc:subject>CAREERS-BUILD-A2-W06</dc:subject>
  <dc:creator/>
  <cp:keywords/>
  <dc:description/>
  <cp:lastModifiedBy/>
  <cp:revision>1</cp:revision>
  <dcterms:created xsi:type="dcterms:W3CDTF">2013-12-23T23:15:00Z</dcterms:created>
  <dcterms:modified xsi:type="dcterms:W3CDTF">2013-12-23T23:15:00Z</dcterms:modified>
  <cp:category/>
</cp:coreProperties>
</file>