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Staff answers and response guide</w:t>
      </w:r>
    </w:p>
    <w:p>
      <w:r>
        <w:rPr>
          <w:b w:val="0"/>
        </w:rPr>
        <w:t>People who care</w:t>
      </w:r>
    </w:p>
    <w:p>
      <w:r>
        <w:rPr>
          <w:b w:val="0"/>
        </w:rPr>
        <w:t>These are teaching guides. Record the learner’s actual response and support. All cards describe fictional young people, families and support roles. Never invite personal comparisons.</w:t>
      </w:r>
    </w:p>
    <w:p>
      <w:pPr>
        <w:pStyle w:val="Heading1"/>
      </w:pPr>
      <w:r>
        <w:rPr>
          <w:b w:val="0"/>
        </w:rPr>
        <w:t>Card key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104"/>
        <w:gridCol w:w="4968"/>
      </w:tblGrid>
      <w:tr>
        <w:trPr>
          <w:tblHeader/>
        </w:trPr>
        <w:tc>
          <w:tcPr>
            <w:tcW w:type="dxa" w:w="864"/>
          </w:tcPr>
          <w:p>
            <w:pPr>
              <w:spacing w:after="60" w:before="40"/>
            </w:pPr>
            <w:r>
              <w:rPr>
                <w:b/>
                <w:sz w:val="20"/>
              </w:rPr>
              <w:t>Card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/>
                <w:sz w:val="20"/>
              </w:rPr>
              <w:t>Judgement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0"/>
              </w:rPr>
              <w:t>Possible action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Listen and give time.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Caring action: the adult lets the person finish and checks what help is wanted.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Show one small step.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Caring action: help with the stated need, without taking over every choice.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Give space and stay ready to help.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Caring action: respect space; no forced touch or demand for a private reason.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D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Not a caring response in this story.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Replace laughter with listening and a useful reply.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E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This does not respect their choice.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Ask what help is wanted and offer a supported choice.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Ask another trusted adult.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The support map supplies a tutor and a support adult. Keep the request available for a follow-up.</w:t>
            </w:r>
          </w:p>
        </w:tc>
      </w:tr>
    </w:tbl>
    <w:p>
      <w:pPr>
        <w:pStyle w:val="Heading1"/>
      </w:pPr>
      <w:r>
        <w:rPr>
          <w:b w:val="0"/>
        </w:rPr>
        <w:t>Model and hinge</w:t>
      </w:r>
    </w:p>
    <w:p>
      <w:r>
        <w:rPr>
          <w:b w:val="0"/>
        </w:rPr>
        <w:t>A young person needs help with a task. A tutor listens to their question. The tutor shows one small step. This act can show care. The young person can ask once more. The tutor checks what help is wanted.</w:t>
      </w:r>
    </w:p>
    <w:p>
      <w:r>
        <w:rPr>
          <w:b w:val="0"/>
        </w:rPr>
        <w:t>A is supported by the caring action. B is unkind. C removes choice rather than checking what help is wanted. An adult’s role alone does not prove that an action is caring. Reteach with the card about waiting while a person speaks; ask what that action allows.</w:t>
      </w:r>
    </w:p>
    <w:p>
      <w:pPr>
        <w:pStyle w:val="Heading1"/>
      </w:pPr>
      <w:r>
        <w:rPr>
          <w:b w:val="0"/>
        </w:rPr>
        <w:t>Individual evidence key</w:t>
      </w:r>
    </w:p>
    <w:p>
      <w:r>
        <w:rPr>
          <w:b w:val="0"/>
        </w:rPr>
        <w:t>Record the actual situation and caring-action match, a map linking the fictional young person to at least one appropriate support role, and the learner’s explanation. The two supplied roles allow a further help route. Record prompts, mode and what remains unshown. Do not require the learner to list or identify anyone in their own life.</w:t>
      </w:r>
    </w:p>
    <w:p>
      <w:r>
        <w:br w:type="page"/>
      </w:r>
    </w:p>
    <w:p>
      <w:pPr>
        <w:pStyle w:val="Heading1"/>
      </w:pPr>
      <w:r>
        <w:rPr>
          <w:b w:val="0"/>
        </w:rPr>
        <w:t>Feedback and next teaching</w:t>
      </w:r>
    </w:p>
    <w:p>
      <w:pPr>
        <w:pStyle w:val="Heading1"/>
      </w:pPr>
      <w:r>
        <w:rPr>
          <w:b w:val="0"/>
        </w:rPr>
        <w:t>Practical check</w:t>
      </w:r>
    </w:p>
    <w:p>
      <w:r>
        <w:rPr>
          <w:b w:val="0"/>
        </w:rPr>
        <w:t>The map begins with the fictional young person who needs help to start a task. A tutor can show one step. A support adult can help ask a question or find another agreed help route. Accept one appropriate role for the core map; the second route extends the response. Do not ask for real names, family lists or contact details.</w:t>
      </w:r>
    </w:p>
    <w:p>
      <w:pPr>
        <w:pStyle w:val="Heading1"/>
      </w:pPr>
      <w:r>
        <w:rPr>
          <w:b w:val="0"/>
        </w:rPr>
        <w:t>Common misunderstandings</w:t>
      </w:r>
    </w:p>
    <w:p>
      <w:r>
        <w:rPr>
          <w:b w:val="0"/>
        </w:rPr>
        <w:t>Family structure does not tell us how much care a person receives. Caring relationships can take different forms. Care is shown through actions, not appearance, gifts or an adult’s title. A young person can ask for more help if one response does not meet the need.</w:t>
      </w:r>
    </w:p>
    <w:p>
      <w:pPr>
        <w:pStyle w:val="Heading1"/>
      </w:pPr>
      <w:r>
        <w:rPr>
          <w:b w:val="0"/>
        </w:rPr>
        <w:t>Teaching boundary</w:t>
      </w:r>
    </w:p>
    <w:p>
      <w:r>
        <w:rPr>
          <w:b w:val="0"/>
        </w:rPr>
        <w:t>Every teaching prompt concerns a fictional young person. Never ask learners about their own bodies, families or experiences, or use a real person as the case. Read fictional cards without inviting comparison with home. No touching, body checking, forced eye contact, acting out distress or personal role-play. Allow a pass, quiet response or pause. If a learner raises a personal concern, follow the setting’s safeguarding procedure; do not turn the disclosure into lesson evidence. Staff use the setting’s agreed support arrangements.</w:t>
      </w:r>
    </w:p>
    <w:p>
      <w:pPr>
        <w:pStyle w:val="Heading1"/>
      </w:pPr>
      <w:r>
        <w:rPr>
          <w:b w:val="0"/>
        </w:rPr>
        <w:t>Feedback and follow-up</w:t>
      </w:r>
    </w:p>
    <w:p>
      <w:r>
        <w:rPr>
          <w:b w:val="0"/>
        </w:rPr>
        <w:t>Use VF · WS · I · NS+ (Yellow Box) · // self-edit · ? read back · R responded · E evidence in the evidence record. R requires Voice, Audience, a specific NS+ prompt and the learner response in their own colour. E is recorded only when actual work is banked. Record prompts and unfinished work. Blank sheets and adult models are not completed learner evidence.</w:t>
      </w:r>
    </w:p>
    <w:p>
      <w:r>
        <w:rPr>
          <w:b w:val="0"/>
        </w:rPr>
        <w:t>If work is incomplete, name the gap and arrange a supported follow-up. No qualification completion is claimed.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who care</dc:title>
  <dc:subject>RSHE-BUILD-A2-W01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