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for the stories</w:t>
      </w:r>
    </w:p>
    <w:p>
      <w:r>
        <w:rPr>
          <w:b w:val="0"/>
          <w:sz w:val="24"/>
        </w:rPr>
        <w:t>Feelings and body clues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feeling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How a person feels at a time.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clue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sign that may help explain something.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calm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At ease or settled.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tense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Not at ease; tight or on edge.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pause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Stop for a short time.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comfort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sense of ease or feeling settled.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help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Support with a need or task.</w:t>
            </w:r>
          </w:p>
        </w:tc>
      </w:tr>
    </w:tbl>
    <w:p>
      <w:pPr>
        <w:pStyle w:val="Heading1"/>
      </w:pPr>
      <w:r>
        <w:rPr>
          <w:b w:val="0"/>
        </w:rPr>
        <w:t>Ways to explain the case</w:t>
      </w:r>
    </w:p>
    <w:p>
      <w:r>
        <w:rPr>
          <w:b w:val="0"/>
          <w:sz w:val="28"/>
        </w:rPr>
        <w:t>The young person could ______.</w:t>
        <w:br/>
        <w:t>The clue in the story is ______.</w:t>
        <w:br/>
        <w:t>This could help the person because ______.</w:t>
      </w:r>
    </w:p>
    <w:p>
      <w:r>
        <w:rPr>
          <w:b w:val="0"/>
          <w:sz w:val="24"/>
        </w:rPr>
        <w:t>The answer can be spoken, chosen, drawn or written.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Feelings and body clues</dc:title>
  <dc:subject>RSHE-BUILD-A2-W02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