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My body and privacy</w:t>
      </w:r>
    </w:p>
    <w:p>
      <w:r>
        <w:rPr>
          <w:b w:val="0"/>
        </w:rPr>
        <w:t>These are teaching guides. Record the learner’s actual response and support. All cards describe fictional young people, families and support roles. Never invite personal comparisons.</w:t>
      </w:r>
    </w:p>
    <w:p>
      <w:pPr>
        <w:pStyle w:val="Heading1"/>
      </w:pPr>
      <w:r>
        <w:rPr>
          <w:b w:val="0"/>
        </w:rPr>
        <w:t>Card key</w:t>
      </w:r>
    </w:p>
    <w:tbl>
      <w:tblPr>
        <w:tblStyle w:val="TableGrid"/>
        <w:tblW w:type="auto" w:w="0"/>
        <w:tblLayout w:type="fixed"/>
        <w:tblLook w:firstColumn="1" w:firstRow="1" w:lastColumn="0" w:lastRow="0" w:noHBand="0" w:noVBand="1" w:val="04A0"/>
      </w:tblPr>
      <w:tblGrid>
        <w:gridCol w:w="864"/>
        <w:gridCol w:w="4104"/>
        <w:gridCol w:w="4968"/>
      </w:tblGrid>
      <w:tr>
        <w:trPr>
          <w:tblHeader/>
        </w:trPr>
        <w:tc>
          <w:tcPr>
            <w:tcW w:type="dxa" w:w="864"/>
          </w:tcPr>
          <w:p>
            <w:pPr>
              <w:spacing w:after="60" w:before="40"/>
            </w:pPr>
            <w:r>
              <w:rPr>
                <w:b/>
                <w:sz w:val="19"/>
              </w:rPr>
              <w:t>Card</w:t>
            </w:r>
          </w:p>
        </w:tc>
        <w:tc>
          <w:tcPr>
            <w:tcW w:type="dxa" w:w="4104"/>
          </w:tcPr>
          <w:p>
            <w:pPr>
              <w:spacing w:after="60" w:before="40"/>
            </w:pPr>
            <w:r>
              <w:rPr>
                <w:b/>
                <w:sz w:val="19"/>
              </w:rPr>
              <w:t>Judgement</w:t>
            </w:r>
          </w:p>
        </w:tc>
        <w:tc>
          <w:tcPr>
            <w:tcW w:type="dxa" w:w="4968"/>
          </w:tcPr>
          <w:p>
            <w:pPr>
              <w:spacing w:after="60" w:before="40"/>
            </w:pPr>
            <w:r>
              <w:rPr>
                <w:b/>
                <w:sz w:val="19"/>
              </w:rPr>
              <w:t>Possible action</w:t>
            </w:r>
          </w:p>
        </w:tc>
      </w:tr>
      <w:tr>
        <w:tc>
          <w:tcPr>
            <w:tcW w:type="dxa" w:w="864"/>
          </w:tcPr>
          <w:p>
            <w:pPr>
              <w:spacing w:after="60" w:before="40"/>
            </w:pPr>
            <w:r>
              <w:rPr>
                <w:b w:val="0"/>
                <w:sz w:val="19"/>
              </w:rPr>
              <w:t>A</w:t>
            </w:r>
          </w:p>
        </w:tc>
        <w:tc>
          <w:tcPr>
            <w:tcW w:type="dxa" w:w="4104"/>
          </w:tcPr>
          <w:p>
            <w:pPr>
              <w:spacing w:after="60" w:before="40"/>
            </w:pPr>
            <w:r>
              <w:rPr>
                <w:b w:val="0"/>
                <w:sz w:val="19"/>
              </w:rPr>
              <w:t>Respects privacy.</w:t>
            </w:r>
          </w:p>
        </w:tc>
        <w:tc>
          <w:tcPr>
            <w:tcW w:type="dxa" w:w="4968"/>
          </w:tcPr>
          <w:p>
            <w:pPr>
              <w:spacing w:after="60" w:before="40"/>
            </w:pPr>
            <w:r>
              <w:rPr>
                <w:b w:val="0"/>
                <w:sz w:val="19"/>
              </w:rPr>
              <w:t>Wait outside for a reply; do not assume permission to enter.</w:t>
            </w:r>
          </w:p>
        </w:tc>
      </w:tr>
      <w:tr>
        <w:tc>
          <w:tcPr>
            <w:tcW w:type="dxa" w:w="864"/>
          </w:tcPr>
          <w:p>
            <w:pPr>
              <w:spacing w:after="60" w:before="40"/>
            </w:pPr>
            <w:r>
              <w:rPr>
                <w:b w:val="0"/>
                <w:sz w:val="19"/>
              </w:rPr>
              <w:t>B</w:t>
            </w:r>
          </w:p>
        </w:tc>
        <w:tc>
          <w:tcPr>
            <w:tcW w:type="dxa" w:w="4104"/>
          </w:tcPr>
          <w:p>
            <w:pPr>
              <w:spacing w:after="60" w:before="40"/>
            </w:pPr>
            <w:r>
              <w:rPr>
                <w:b w:val="0"/>
                <w:sz w:val="19"/>
              </w:rPr>
              <w:t>Needs to change.</w:t>
            </w:r>
          </w:p>
        </w:tc>
        <w:tc>
          <w:tcPr>
            <w:tcW w:type="dxa" w:w="4968"/>
          </w:tcPr>
          <w:p>
            <w:pPr>
              <w:spacing w:after="60" w:before="40"/>
            </w:pPr>
            <w:r>
              <w:rPr>
                <w:b w:val="0"/>
                <w:sz w:val="19"/>
              </w:rPr>
              <w:t>Close the door, give privacy and wait. Use agreed urgent-help arrangements if there is a genuine safety concern.</w:t>
            </w:r>
          </w:p>
        </w:tc>
      </w:tr>
      <w:tr>
        <w:tc>
          <w:tcPr>
            <w:tcW w:type="dxa" w:w="864"/>
          </w:tcPr>
          <w:p>
            <w:pPr>
              <w:spacing w:after="60" w:before="40"/>
            </w:pPr>
            <w:r>
              <w:rPr>
                <w:b w:val="0"/>
                <w:sz w:val="19"/>
              </w:rPr>
              <w:t>C</w:t>
            </w:r>
          </w:p>
        </w:tc>
        <w:tc>
          <w:tcPr>
            <w:tcW w:type="dxa" w:w="4104"/>
          </w:tcPr>
          <w:p>
            <w:pPr>
              <w:spacing w:after="60" w:before="40"/>
            </w:pPr>
            <w:r>
              <w:rPr>
                <w:b w:val="0"/>
                <w:sz w:val="19"/>
              </w:rPr>
              <w:t>Seeking help is allowed.</w:t>
            </w:r>
          </w:p>
        </w:tc>
        <w:tc>
          <w:tcPr>
            <w:tcW w:type="dxa" w:w="4968"/>
          </w:tcPr>
          <w:p>
            <w:pPr>
              <w:spacing w:after="60" w:before="40"/>
            </w:pPr>
            <w:r>
              <w:rPr>
                <w:b w:val="0"/>
                <w:sz w:val="19"/>
              </w:rPr>
              <w:t>The adult listens and arranges appropriate help. Talking about a worry is not breaking a privacy rule.</w:t>
            </w:r>
          </w:p>
        </w:tc>
      </w:tr>
      <w:tr>
        <w:tc>
          <w:tcPr>
            <w:tcW w:type="dxa" w:w="864"/>
          </w:tcPr>
          <w:p>
            <w:pPr>
              <w:spacing w:after="60" w:before="40"/>
            </w:pPr>
            <w:r>
              <w:rPr>
                <w:b w:val="0"/>
                <w:sz w:val="19"/>
              </w:rPr>
              <w:t>D</w:t>
            </w:r>
          </w:p>
        </w:tc>
        <w:tc>
          <w:tcPr>
            <w:tcW w:type="dxa" w:w="4104"/>
          </w:tcPr>
          <w:p>
            <w:pPr>
              <w:spacing w:after="60" w:before="40"/>
            </w:pPr>
            <w:r>
              <w:rPr>
                <w:b w:val="0"/>
                <w:sz w:val="19"/>
              </w:rPr>
              <w:t>Seek help. The request is not okay.</w:t>
            </w:r>
          </w:p>
        </w:tc>
        <w:tc>
          <w:tcPr>
            <w:tcW w:type="dxa" w:w="4968"/>
          </w:tcPr>
          <w:p>
            <w:pPr>
              <w:spacing w:after="60" w:before="40"/>
            </w:pPr>
            <w:r>
              <w:rPr>
                <w:b w:val="0"/>
                <w:sz w:val="19"/>
              </w:rPr>
              <w:t>The young person can move away if able and tell a trusted adult. If the first adult does not help, tell another. They are never to blame for someone else’s harmful action.</w:t>
            </w:r>
          </w:p>
        </w:tc>
      </w:tr>
      <w:tr>
        <w:tc>
          <w:tcPr>
            <w:tcW w:type="dxa" w:w="864"/>
          </w:tcPr>
          <w:p>
            <w:pPr>
              <w:spacing w:after="60" w:before="40"/>
            </w:pPr>
            <w:r>
              <w:rPr>
                <w:b w:val="0"/>
                <w:sz w:val="19"/>
              </w:rPr>
              <w:t>E</w:t>
            </w:r>
          </w:p>
        </w:tc>
        <w:tc>
          <w:tcPr>
            <w:tcW w:type="dxa" w:w="4104"/>
          </w:tcPr>
          <w:p>
            <w:pPr>
              <w:spacing w:after="60" w:before="40"/>
            </w:pPr>
            <w:r>
              <w:rPr>
                <w:b w:val="0"/>
                <w:sz w:val="19"/>
              </w:rPr>
              <w:t>Necessary care can respect privacy.</w:t>
            </w:r>
          </w:p>
        </w:tc>
        <w:tc>
          <w:tcPr>
            <w:tcW w:type="dxa" w:w="4968"/>
          </w:tcPr>
          <w:p>
            <w:pPr>
              <w:spacing w:after="60" w:before="40"/>
            </w:pPr>
            <w:r>
              <w:rPr>
                <w:b w:val="0"/>
                <w:sz w:val="19"/>
              </w:rPr>
              <w:t>Follow the agreed care plan, explain each step, seek and respond to the person’s wishes and provide only the help needed. An adult’s role alone is not permission.</w:t>
            </w:r>
          </w:p>
        </w:tc>
      </w:tr>
      <w:tr>
        <w:tc>
          <w:tcPr>
            <w:tcW w:type="dxa" w:w="864"/>
          </w:tcPr>
          <w:p>
            <w:pPr>
              <w:spacing w:after="60" w:before="40"/>
            </w:pPr>
            <w:r>
              <w:rPr>
                <w:b w:val="0"/>
                <w:sz w:val="19"/>
              </w:rPr>
              <w:t>F</w:t>
            </w:r>
          </w:p>
        </w:tc>
        <w:tc>
          <w:tcPr>
            <w:tcW w:type="dxa" w:w="4104"/>
          </w:tcPr>
          <w:p>
            <w:pPr>
              <w:spacing w:after="60" w:before="40"/>
            </w:pPr>
            <w:r>
              <w:rPr>
                <w:b w:val="0"/>
                <w:sz w:val="19"/>
              </w:rPr>
              <w:t>A further help route is needed.</w:t>
            </w:r>
          </w:p>
        </w:tc>
        <w:tc>
          <w:tcPr>
            <w:tcW w:type="dxa" w:w="4968"/>
          </w:tcPr>
          <w:p>
            <w:pPr>
              <w:spacing w:after="60" w:before="40"/>
            </w:pPr>
            <w:r>
              <w:rPr>
                <w:b w:val="0"/>
                <w:sz w:val="19"/>
              </w:rPr>
              <w:t>The young person can tell another trusted adult and keep seeking help. Do not treat a delayed response as proof that the worry is unimportant.</w:t>
            </w:r>
          </w:p>
        </w:tc>
      </w:tr>
    </w:tbl>
    <w:p>
      <w:pPr>
        <w:pStyle w:val="Heading1"/>
      </w:pPr>
      <w:r>
        <w:rPr>
          <w:b w:val="0"/>
        </w:rPr>
        <w:t>Model and hinge</w:t>
      </w:r>
    </w:p>
    <w:p>
      <w:r>
        <w:rPr>
          <w:b w:val="0"/>
        </w:rPr>
        <w:t>A young person needs to change clothes. Another person knocks at the door. They wait outside for a reply. This gives the young person privacy. A worry about a body part can be shared. A trusted adult can help with the worry.</w:t>
      </w:r>
    </w:p>
    <w:p>
      <w:r>
        <w:rPr>
          <w:b w:val="0"/>
        </w:rPr>
        <w:t>A respects privacy in this fictional situation. B and C do not. Privacy protects dignity; it must never mean keeping a worry or harmful act secret. Reteach with the closed-door story and the help-seeking story. In urgent care or danger, staff follow the setting’s agreed procedure, explain what is happening and protect dignity as far as possible.</w:t>
      </w:r>
    </w:p>
    <w:p>
      <w:pPr>
        <w:pStyle w:val="Heading1"/>
      </w:pPr>
      <w:r>
        <w:rPr>
          <w:b w:val="0"/>
        </w:rPr>
        <w:t>Individual evidence key</w:t>
      </w:r>
    </w:p>
    <w:p>
      <w:r>
        <w:rPr>
          <w:b w:val="0"/>
        </w:rPr>
        <w:t>Keep the exact taught word list and the learner’s word-to-diagram response, including any point or selected card. Keep decisions for two distinct fictional privacy stories with the action chosen; record reasons where offered, actual support and what remains unshown. Reading aloud or pointing is valid. No real body, private history or disclosure belongs in the lesson evidence record.</w:t>
      </w:r>
    </w:p>
    <w:p>
      <w:r>
        <w:br w:type="page"/>
      </w:r>
    </w:p>
    <w:p>
      <w:pPr>
        <w:pStyle w:val="Heading1"/>
      </w:pPr>
      <w:r>
        <w:rPr>
          <w:b w:val="0"/>
        </w:rPr>
        <w:t>Feedback and next teaching</w:t>
      </w:r>
    </w:p>
    <w:p>
      <w:pPr>
        <w:pStyle w:val="Heading1"/>
      </w:pPr>
      <w:r>
        <w:rPr>
          <w:b w:val="0"/>
        </w:rPr>
        <w:t>Practical check</w:t>
      </w:r>
    </w:p>
    <w:p>
      <w:r>
        <w:rPr>
          <w:b w:val="0"/>
        </w:rPr>
        <w:t>Staff may substitute the setting’s own taught list. Use plain anatomical terms and an accurate matching diagram, and record the words actually taught. This issue teaches penis, scrotum, testicles and vulva. The dotted ovals show testicles inside the scrotum; they are not visible through the skin. The vulva label covers the outside genital parts, not an internal organ. Do not link the diagrams to a real person or ask learners which diagram resembles them.</w:t>
      </w:r>
    </w:p>
    <w:p>
      <w:pPr>
        <w:pStyle w:val="Heading1"/>
      </w:pPr>
      <w:r>
        <w:rPr>
          <w:b w:val="0"/>
        </w:rPr>
        <w:t>Common misunderstandings</w:t>
      </w:r>
    </w:p>
    <w:p>
      <w:r>
        <w:rPr>
          <w:b w:val="0"/>
        </w:rPr>
        <w:t>Private body parts are not dirty or shameful. Privacy is not an instruction to keep harmful behaviour secret. A trusted adult can help with a body worry. The vulva is the external group of genital parts; it is not the internal vagina. The scrotum is the skin sac, while the testicles are inside it. The diagram is simplified and not a standard against which to judge any body.</w:t>
      </w:r>
    </w:p>
    <w:p>
      <w:pPr>
        <w:pStyle w:val="Heading1"/>
      </w:pPr>
      <w:r>
        <w:rPr>
          <w:b w:val="0"/>
        </w:rPr>
        <w:t>Teaching boundary</w:t>
      </w:r>
    </w:p>
    <w:p>
      <w:r>
        <w:rPr>
          <w:b w:val="0"/>
        </w:rPr>
        <w:t>All teaching prompts concern fictional young people. Never ask about a learner’s own body, family or experiences. Use only the supplied diagrams and stories. No body checking, touching, removing clothes, photographs, real-life comparisons or personal role-play. An adult may read both parts of a fictional exchange; learners can choose or describe a response. Respect a pass, pause or quiet response without asking why. Follow the setting’s safeguarding procedure if a personal concern arises; do not turn a disclosure into lesson evidence. Use the agreed support and care arrangements.</w:t>
      </w:r>
    </w:p>
    <w:p>
      <w:pPr>
        <w:pStyle w:val="Heading1"/>
      </w:pPr>
      <w:r>
        <w:rPr>
          <w:b w:val="0"/>
        </w:rPr>
        <w:t>Feedback and follow-up</w:t>
      </w:r>
    </w:p>
    <w:p>
      <w:r>
        <w:rPr>
          <w:b w:val="0"/>
        </w:rPr>
        <w:t>Use VF · WS · I · NS+ (Yellow Box) · // self-edit · ? read back · R responded · E evidence in the evidence record. R requires Voice, Audience, a specific NS+ prompt and the learner response in their own colour. E is recorded only when actual work is banked. Record prompts and unfinished work. Blank sheets and adult models are not completed learner evidence.</w:t>
      </w:r>
    </w:p>
    <w:p>
      <w:r>
        <w:rPr>
          <w:b w:val="0"/>
        </w:rPr>
        <w:t>If work is incomplete, name the gap and arrange a supported follow-up. No qualification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RSHE-BUILD-A2-W03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body and privacy</dc:title>
  <dc:subject>RSHE-BUILD-A2-W03</dc:subject>
  <dc:creator/>
  <cp:keywords>Year A · RSHE</cp:keywords>
  <dc:description>Year A · RSHE</dc:description>
  <cp:lastModifiedBy/>
  <cp:revision>1</cp:revision>
  <dcterms:created xsi:type="dcterms:W3CDTF">2013-12-23T23:15:00Z</dcterms:created>
  <dcterms:modified xsi:type="dcterms:W3CDTF">2013-12-23T23:15:00Z</dcterms:modified>
  <cp:category/>
</cp:coreProperties>
</file>