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Personal space and permission</w:t>
      </w:r>
    </w:p>
    <w:p>
      <w:r>
        <w:rPr>
          <w:b w:val="0"/>
        </w:rPr>
        <w:t>Week beginning 23 November 2026 · one 40-minute lesson</w:t>
      </w:r>
    </w:p>
    <w:p>
      <w:r>
        <w:rPr>
          <w:b w:val="0"/>
        </w:rPr>
        <w:t>Actual date __________________  Staff role ______________</w:t>
      </w:r>
    </w:p>
    <w:p>
      <w:r>
        <w:rPr>
          <w:b w:val="0"/>
        </w:rPr>
        <w:t>Year A · Term theme: Identity &amp; Belonging</w:t>
      </w:r>
    </w:p>
    <w:p>
      <w:r>
        <w:rPr>
          <w:b w:val="0"/>
          <w:sz w:val="19"/>
        </w:rPr>
        <w:t>Thread tags: SMSC S/M/So (C: none); British Values IL/MR (D/RL/T: none).</w:t>
      </w:r>
    </w:p>
    <w:p>
      <w:pPr>
        <w:pStyle w:val="Heading1"/>
      </w:pPr>
      <w:r>
        <w:rPr>
          <w:b w:val="0"/>
        </w:rPr>
        <w:t>Approved objective and source</w:t>
      </w:r>
    </w:p>
    <w:p>
      <w:r>
        <w:rPr>
          <w:b w:val="0"/>
        </w:rPr>
        <w:t>Ask permission for an everyday action and respect another person’s response.</w:t>
      </w:r>
    </w:p>
    <w:p>
      <w:r>
        <w:rPr>
          <w:b w:val="0"/>
          <w:sz w:val="19"/>
        </w:rPr>
        <w:t>Owner-approved standalone RSHE outline, 26 October 2026. The approved outline is the weekly source; no separate weekly workbook row is asserted.</w:t>
      </w:r>
    </w:p>
    <w:p>
      <w:pPr>
        <w:pStyle w:val="Heading1"/>
      </w:pPr>
      <w:r>
        <w:rPr>
          <w:b w:val="0"/>
        </w:rPr>
        <w:t>Purpose and success checks</w:t>
      </w:r>
    </w:p>
    <w:p>
      <w:r>
        <w:rPr>
          <w:b w:val="0"/>
        </w:rPr>
        <w:t>A teen wants a pen. They ask first. The peer says no. What next?</w:t>
      </w:r>
    </w:p>
    <w:p>
      <w:r>
        <w:rPr>
          <w:b w:val="0"/>
        </w:rPr>
        <w:t>Choose a clear request for the teen. Respond to two short stories. Stop or wait if the reply is not clear.</w:t>
      </w:r>
    </w:p>
    <w:p>
      <w:r>
        <w:rPr>
          <w:b w:val="0"/>
          <w:sz w:val="19"/>
        </w:rPr>
        <w:t>RSHE-BUILD-A2-W04-E1: A permission request and responses to two boundary situations, recorded in the learner’s chosen mode.</w:t>
      </w:r>
    </w:p>
    <w:p>
      <w:pPr>
        <w:pStyle w:val="Heading1"/>
      </w:pPr>
      <w:r>
        <w:rPr>
          <w:b w:val="0"/>
        </w:rPr>
        <w:t>Before pupils arrive</w:t>
      </w:r>
    </w:p>
    <w:p>
      <w:r>
        <w:rPr>
          <w:b w:val="0"/>
        </w:rPr>
        <w:t>Print both evidence pages and the three support pages. Keep the picture whole. Cut the six story cards, request cards and response cards. Retain the response mat. Prepare a separate adult model. No learner borrows, touches or moves close to another learner for this task; the exchange stays about the fictional characters. An adult may read both parts while the learner selects or explains a response.</w:t>
      </w:r>
    </w:p>
    <w:p>
      <w:pPr>
        <w:pStyle w:val="Heading1"/>
      </w:pPr>
      <w:r>
        <w:rPr>
          <w:b w:val="0"/>
        </w:rPr>
        <w:t>Calendar and continuity</w:t>
      </w:r>
    </w:p>
    <w:p>
      <w:r>
        <w:rPr>
          <w:b w:val="0"/>
        </w:rPr>
        <w:t>Year A. Autumn 2 Week 4: 23–27 November 2026. One 40-minute RSHE lesson. No day or clock slot is inferred. This lesson is formative. Week 7 is the assessing lesson.</w:t>
      </w:r>
    </w:p>
    <w:p>
      <w:pPr>
        <w:pStyle w:val="Heading1"/>
      </w:pPr>
      <w:r>
        <w:rPr>
          <w:b w:val="0"/>
        </w:rPr>
        <w:t>Where this leads</w:t>
      </w:r>
    </w:p>
    <w:p>
      <w:r>
        <w:rPr>
          <w:b w:val="0"/>
        </w:rPr>
        <w:t>This helps me respect other people’s space, belongings and choices.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720"/>
        <w:gridCol w:w="648"/>
        <w:gridCol w:w="8568"/>
      </w:tblGrid>
      <w:tr>
        <w:trPr>
          <w:tblHeader/>
        </w:trPr>
        <w:tc>
          <w:tcPr>
            <w:tcW w:type="dxa" w:w="720"/>
          </w:tcPr>
          <w:p>
            <w:pPr>
              <w:spacing w:after="60" w:before="40"/>
            </w:pPr>
            <w:r>
              <w:rPr>
                <w:b/>
                <w:sz w:val="19"/>
              </w:rPr>
              <w:t>Slide</w:t>
            </w:r>
          </w:p>
        </w:tc>
        <w:tc>
          <w:tcPr>
            <w:tcW w:type="dxa" w:w="648"/>
          </w:tcPr>
          <w:p>
            <w:pPr>
              <w:spacing w:after="60" w:before="40"/>
            </w:pPr>
            <w:r>
              <w:rPr>
                <w:b/>
                <w:sz w:val="19"/>
              </w:rPr>
              <w:t>Min</w:t>
            </w:r>
          </w:p>
        </w:tc>
        <w:tc>
          <w:tcPr>
            <w:tcW w:type="dxa" w:w="8568"/>
          </w:tcPr>
          <w:p>
            <w:pPr>
              <w:spacing w:after="60" w:before="40"/>
            </w:pPr>
            <w:r>
              <w:rPr>
                <w:b/>
                <w:sz w:val="19"/>
              </w:rPr>
              <w:t>Action</w:t>
            </w:r>
          </w:p>
        </w:tc>
      </w:tr>
      <w:tr>
        <w:tc>
          <w:tcPr>
            <w:tcW w:type="dxa" w:w="720"/>
          </w:tcPr>
          <w:p>
            <w:pPr>
              <w:spacing w:after="60" w:before="40"/>
            </w:pPr>
            <w:r>
              <w:rPr>
                <w:b w:val="0"/>
                <w:sz w:val="19"/>
              </w:rPr>
              <w:t>1</w:t>
            </w:r>
          </w:p>
        </w:tc>
        <w:tc>
          <w:tcPr>
            <w:tcW w:type="dxa" w:w="648"/>
          </w:tcPr>
          <w:p>
            <w:pPr>
              <w:spacing w:after="60" w:before="40"/>
            </w:pPr>
            <w:r>
              <w:rPr>
                <w:b w:val="0"/>
                <w:sz w:val="19"/>
              </w:rPr>
              <w:t>0</w:t>
            </w:r>
          </w:p>
        </w:tc>
        <w:tc>
          <w:tcPr>
            <w:tcW w:type="dxa" w:w="8568"/>
          </w:tcPr>
          <w:p>
            <w:pPr>
              <w:spacing w:after="60" w:before="40"/>
            </w:pPr>
            <w:r>
              <w:rPr>
                <w:b w:val="0"/>
                <w:sz w:val="19"/>
              </w:rPr>
              <w:t>Open the title before the timed sequence.</w:t>
            </w:r>
          </w:p>
        </w:tc>
      </w:tr>
      <w:tr>
        <w:tc>
          <w:tcPr>
            <w:tcW w:type="dxa" w:w="720"/>
          </w:tcPr>
          <w:p>
            <w:pPr>
              <w:spacing w:after="60" w:before="40"/>
            </w:pPr>
            <w:r>
              <w:rPr>
                <w:b w:val="0"/>
                <w:sz w:val="19"/>
              </w:rPr>
              <w:t>2</w:t>
            </w:r>
          </w:p>
        </w:tc>
        <w:tc>
          <w:tcPr>
            <w:tcW w:type="dxa" w:w="648"/>
          </w:tcPr>
          <w:p>
            <w:pPr>
              <w:spacing w:after="60" w:before="40"/>
            </w:pPr>
            <w:r>
              <w:rPr>
                <w:b w:val="0"/>
                <w:sz w:val="19"/>
              </w:rPr>
              <w:t>3</w:t>
            </w:r>
          </w:p>
        </w:tc>
        <w:tc>
          <w:tcPr>
            <w:tcW w:type="dxa" w:w="8568"/>
          </w:tcPr>
          <w:p>
            <w:pPr>
              <w:spacing w:after="60" w:before="40"/>
            </w:pPr>
            <w:r>
              <w:rPr>
                <w:b w:val="0"/>
                <w:sz w:val="19"/>
              </w:rPr>
              <w:t>Calm arrival and support choice.</w:t>
            </w:r>
          </w:p>
        </w:tc>
      </w:tr>
      <w:tr>
        <w:tc>
          <w:tcPr>
            <w:tcW w:type="dxa" w:w="720"/>
          </w:tcPr>
          <w:p>
            <w:pPr>
              <w:spacing w:after="60" w:before="40"/>
            </w:pPr>
            <w:r>
              <w:rPr>
                <w:b w:val="0"/>
                <w:sz w:val="19"/>
              </w:rPr>
              <w:t>3</w:t>
            </w:r>
          </w:p>
        </w:tc>
        <w:tc>
          <w:tcPr>
            <w:tcW w:type="dxa" w:w="648"/>
          </w:tcPr>
          <w:p>
            <w:pPr>
              <w:spacing w:after="60" w:before="40"/>
            </w:pPr>
            <w:r>
              <w:rPr>
                <w:b w:val="0"/>
                <w:sz w:val="19"/>
              </w:rPr>
              <w:t>3</w:t>
            </w:r>
          </w:p>
        </w:tc>
        <w:tc>
          <w:tcPr>
            <w:tcW w:type="dxa" w:w="8568"/>
          </w:tcPr>
          <w:p>
            <w:pPr>
              <w:spacing w:after="60" w:before="40"/>
            </w:pPr>
            <w:r>
              <w:rPr>
                <w:b w:val="0"/>
                <w:sz w:val="19"/>
              </w:rPr>
              <w:t>Read the fictional young person’s story.</w:t>
            </w:r>
          </w:p>
        </w:tc>
      </w:tr>
      <w:tr>
        <w:tc>
          <w:tcPr>
            <w:tcW w:type="dxa" w:w="720"/>
          </w:tcPr>
          <w:p>
            <w:pPr>
              <w:spacing w:after="60" w:before="40"/>
            </w:pPr>
            <w:r>
              <w:rPr>
                <w:b w:val="0"/>
                <w:sz w:val="19"/>
              </w:rPr>
              <w:t>4</w:t>
            </w:r>
          </w:p>
        </w:tc>
        <w:tc>
          <w:tcPr>
            <w:tcW w:type="dxa" w:w="648"/>
          </w:tcPr>
          <w:p>
            <w:pPr>
              <w:spacing w:after="60" w:before="40"/>
            </w:pPr>
            <w:r>
              <w:rPr>
                <w:b w:val="0"/>
                <w:sz w:val="19"/>
              </w:rPr>
              <w:t>0</w:t>
            </w:r>
          </w:p>
        </w:tc>
        <w:tc>
          <w:tcPr>
            <w:tcW w:type="dxa" w:w="8568"/>
          </w:tcPr>
          <w:p>
            <w:pPr>
              <w:spacing w:after="60" w:before="40"/>
            </w:pPr>
            <w:r>
              <w:rPr>
                <w:b w:val="0"/>
                <w:sz w:val="19"/>
              </w:rPr>
              <w:t>Read the objective and success checks.</w:t>
            </w:r>
          </w:p>
        </w:tc>
      </w:tr>
      <w:tr>
        <w:tc>
          <w:tcPr>
            <w:tcW w:type="dxa" w:w="720"/>
          </w:tcPr>
          <w:p>
            <w:pPr>
              <w:spacing w:after="60" w:before="40"/>
            </w:pPr>
            <w:r>
              <w:rPr>
                <w:b w:val="0"/>
                <w:sz w:val="19"/>
              </w:rPr>
              <w:t>5</w:t>
            </w:r>
          </w:p>
        </w:tc>
        <w:tc>
          <w:tcPr>
            <w:tcW w:type="dxa" w:w="648"/>
          </w:tcPr>
          <w:p>
            <w:pPr>
              <w:spacing w:after="60" w:before="40"/>
            </w:pPr>
            <w:r>
              <w:rPr>
                <w:b w:val="0"/>
                <w:sz w:val="19"/>
              </w:rPr>
              <w:t>5</w:t>
            </w:r>
          </w:p>
        </w:tc>
        <w:tc>
          <w:tcPr>
            <w:tcW w:type="dxa" w:w="8568"/>
          </w:tcPr>
          <w:p>
            <w:pPr>
              <w:spacing w:after="60" w:before="40"/>
            </w:pPr>
            <w:r>
              <w:rPr>
                <w:b w:val="0"/>
                <w:sz w:val="19"/>
              </w:rPr>
              <w:t>Model with a separate set.</w:t>
            </w:r>
          </w:p>
        </w:tc>
      </w:tr>
      <w:tr>
        <w:tc>
          <w:tcPr>
            <w:tcW w:type="dxa" w:w="720"/>
          </w:tcPr>
          <w:p>
            <w:pPr>
              <w:spacing w:after="60" w:before="40"/>
            </w:pPr>
            <w:r>
              <w:rPr>
                <w:b w:val="0"/>
                <w:sz w:val="19"/>
              </w:rPr>
              <w:t>6</w:t>
            </w:r>
          </w:p>
        </w:tc>
        <w:tc>
          <w:tcPr>
            <w:tcW w:type="dxa" w:w="648"/>
          </w:tcPr>
          <w:p>
            <w:pPr>
              <w:spacing w:after="60" w:before="40"/>
            </w:pPr>
            <w:r>
              <w:rPr>
                <w:b w:val="0"/>
                <w:sz w:val="19"/>
              </w:rPr>
              <w:t>5</w:t>
            </w:r>
          </w:p>
        </w:tc>
        <w:tc>
          <w:tcPr>
            <w:tcW w:type="dxa" w:w="8568"/>
          </w:tcPr>
          <w:p>
            <w:pPr>
              <w:spacing w:after="60" w:before="40"/>
            </w:pPr>
            <w:r>
              <w:rPr>
                <w:b w:val="0"/>
                <w:sz w:val="19"/>
              </w:rPr>
              <w:t>Hinge check and brief reteach.</w:t>
            </w:r>
          </w:p>
        </w:tc>
      </w:tr>
      <w:tr>
        <w:tc>
          <w:tcPr>
            <w:tcW w:type="dxa" w:w="720"/>
          </w:tcPr>
          <w:p>
            <w:pPr>
              <w:spacing w:after="60" w:before="40"/>
            </w:pPr>
            <w:r>
              <w:rPr>
                <w:b w:val="0"/>
                <w:sz w:val="19"/>
              </w:rPr>
              <w:t>7</w:t>
            </w:r>
          </w:p>
        </w:tc>
        <w:tc>
          <w:tcPr>
            <w:tcW w:type="dxa" w:w="648"/>
          </w:tcPr>
          <w:p>
            <w:pPr>
              <w:spacing w:after="60" w:before="40"/>
            </w:pPr>
            <w:r>
              <w:rPr>
                <w:b w:val="0"/>
                <w:sz w:val="19"/>
              </w:rPr>
              <w:t>12</w:t>
            </w:r>
          </w:p>
        </w:tc>
        <w:tc>
          <w:tcPr>
            <w:tcW w:type="dxa" w:w="8568"/>
          </w:tcPr>
          <w:p>
            <w:pPr>
              <w:spacing w:after="60" w:before="40"/>
            </w:pPr>
            <w:r>
              <w:rPr>
                <w:b w:val="0"/>
                <w:sz w:val="19"/>
              </w:rPr>
              <w:t>Individual task with the chosen route.</w:t>
            </w:r>
          </w:p>
        </w:tc>
      </w:tr>
      <w:tr>
        <w:tc>
          <w:tcPr>
            <w:tcW w:type="dxa" w:w="720"/>
          </w:tcPr>
          <w:p>
            <w:pPr>
              <w:spacing w:after="60" w:before="40"/>
            </w:pPr>
            <w:r>
              <w:rPr>
                <w:b w:val="0"/>
                <w:sz w:val="19"/>
              </w:rPr>
              <w:t>8</w:t>
            </w:r>
          </w:p>
        </w:tc>
        <w:tc>
          <w:tcPr>
            <w:tcW w:type="dxa" w:w="648"/>
          </w:tcPr>
          <w:p>
            <w:pPr>
              <w:spacing w:after="60" w:before="40"/>
            </w:pPr>
            <w:r>
              <w:rPr>
                <w:b w:val="0"/>
                <w:sz w:val="19"/>
              </w:rPr>
              <w:t>6</w:t>
            </w:r>
          </w:p>
        </w:tc>
        <w:tc>
          <w:tcPr>
            <w:tcW w:type="dxa" w:w="8568"/>
          </w:tcPr>
          <w:p>
            <w:pPr>
              <w:spacing w:after="60" w:before="40"/>
            </w:pPr>
            <w:r>
              <w:rPr>
                <w:b w:val="0"/>
                <w:sz w:val="19"/>
              </w:rPr>
              <w:t>Record actual work, response and support.</w:t>
            </w:r>
          </w:p>
        </w:tc>
      </w:tr>
      <w:tr>
        <w:tc>
          <w:tcPr>
            <w:tcW w:type="dxa" w:w="720"/>
          </w:tcPr>
          <w:p>
            <w:pPr>
              <w:spacing w:after="60" w:before="40"/>
            </w:pPr>
            <w:r>
              <w:rPr>
                <w:b w:val="0"/>
                <w:sz w:val="19"/>
              </w:rPr>
              <w:t>9</w:t>
            </w:r>
          </w:p>
        </w:tc>
        <w:tc>
          <w:tcPr>
            <w:tcW w:type="dxa" w:w="648"/>
          </w:tcPr>
          <w:p>
            <w:pPr>
              <w:spacing w:after="60" w:before="40"/>
            </w:pPr>
            <w:r>
              <w:rPr>
                <w:b w:val="0"/>
                <w:sz w:val="19"/>
              </w:rPr>
              <w:t>4</w:t>
            </w:r>
          </w:p>
        </w:tc>
        <w:tc>
          <w:tcPr>
            <w:tcW w:type="dxa" w:w="8568"/>
          </w:tcPr>
          <w:p>
            <w:pPr>
              <w:spacing w:after="60" w:before="40"/>
            </w:pPr>
            <w:r>
              <w:rPr>
                <w:b w:val="0"/>
                <w:sz w:val="19"/>
              </w:rPr>
              <w:t>Tidy and check work references.</w:t>
            </w:r>
          </w:p>
        </w:tc>
      </w:tr>
      <w:tr>
        <w:tc>
          <w:tcPr>
            <w:tcW w:type="dxa" w:w="720"/>
          </w:tcPr>
          <w:p>
            <w:pPr>
              <w:spacing w:after="60" w:before="40"/>
            </w:pPr>
            <w:r>
              <w:rPr>
                <w:b w:val="0"/>
                <w:sz w:val="19"/>
              </w:rPr>
              <w:t>10</w:t>
            </w:r>
          </w:p>
        </w:tc>
        <w:tc>
          <w:tcPr>
            <w:tcW w:type="dxa" w:w="648"/>
          </w:tcPr>
          <w:p>
            <w:pPr>
              <w:spacing w:after="60" w:before="40"/>
            </w:pPr>
            <w:r>
              <w:rPr>
                <w:b w:val="0"/>
                <w:sz w:val="19"/>
              </w:rPr>
              <w:t>2</w:t>
            </w:r>
          </w:p>
        </w:tc>
        <w:tc>
          <w:tcPr>
            <w:tcW w:type="dxa" w:w="8568"/>
          </w:tcPr>
          <w:p>
            <w:pPr>
              <w:spacing w:after="60" w:before="40"/>
            </w:pPr>
            <w:r>
              <w:rPr>
                <w:b w:val="0"/>
                <w:sz w:val="19"/>
              </w:rPr>
              <w:t>Individual exit response and next step.</w:t>
            </w:r>
          </w:p>
        </w:tc>
      </w:tr>
      <w:tr>
        <w:tc>
          <w:tcPr>
            <w:tcW w:type="dxa" w:w="720"/>
          </w:tcPr>
          <w:p>
            <w:pPr>
              <w:spacing w:after="60" w:before="40"/>
            </w:pPr>
            <w:r>
              <w:rPr>
                <w:b w:val="0"/>
                <w:sz w:val="19"/>
              </w:rPr>
              <w:t>11</w:t>
            </w:r>
          </w:p>
        </w:tc>
        <w:tc>
          <w:tcPr>
            <w:tcW w:type="dxa" w:w="648"/>
          </w:tcPr>
          <w:p>
            <w:pPr>
              <w:spacing w:after="60" w:before="40"/>
            </w:pPr>
            <w:r>
              <w:rPr>
                <w:b w:val="0"/>
                <w:sz w:val="19"/>
              </w:rPr>
              <w:t>0</w:t>
            </w:r>
          </w:p>
        </w:tc>
        <w:tc>
          <w:tcPr>
            <w:tcW w:type="dxa" w:w="8568"/>
          </w:tcPr>
          <w:p>
            <w:pPr>
              <w:spacing w:after="60" w:before="40"/>
            </w:pPr>
            <w:r>
              <w:rPr>
                <w:b w:val="0"/>
                <w:sz w:val="19"/>
              </w:rPr>
              <w:t>Vocabulary available throughout.</w:t>
            </w:r>
          </w:p>
        </w:tc>
      </w:tr>
      <w:tr>
        <w:tc>
          <w:tcPr>
            <w:tcW w:type="dxa" w:w="720"/>
          </w:tcPr>
          <w:p>
            <w:pPr>
              <w:spacing w:after="60" w:before="40"/>
            </w:pPr>
            <w:r>
              <w:rPr>
                <w:b w:val="0"/>
                <w:sz w:val="19"/>
              </w:rPr>
              <w:t>12</w:t>
            </w:r>
          </w:p>
        </w:tc>
        <w:tc>
          <w:tcPr>
            <w:tcW w:type="dxa" w:w="648"/>
          </w:tcPr>
          <w:p>
            <w:pPr>
              <w:spacing w:after="60" w:before="40"/>
            </w:pPr>
            <w:r>
              <w:rPr>
                <w:b w:val="0"/>
                <w:sz w:val="19"/>
              </w:rPr>
              <w:t>0</w:t>
            </w:r>
          </w:p>
        </w:tc>
        <w:tc>
          <w:tcPr>
            <w:tcW w:type="dxa" w:w="8568"/>
          </w:tcPr>
          <w:p>
            <w:pPr>
              <w:spacing w:after="60" w:before="40"/>
            </w:pPr>
            <w:r>
              <w:rPr>
                <w:b w:val="0"/>
                <w:sz w:val="19"/>
              </w:rPr>
              <w:t>Hidden staff reference.</w:t>
            </w:r>
          </w:p>
        </w:tc>
      </w:tr>
    </w:tbl>
    <w:p>
      <w:pPr>
        <w:pStyle w:val="Heading1"/>
      </w:pPr>
      <w:r>
        <w:rPr>
          <w:b w:val="0"/>
        </w:rPr>
        <w:t>Hinge and reteach</w:t>
      </w:r>
    </w:p>
    <w:p>
      <w:r>
        <w:rPr>
          <w:b w:val="0"/>
        </w:rPr>
        <w:t>A respects an unclear response. Silence, uncertainty or lack of a spoken no is not agreement. A clear freely given yes may be spoken, signed, pointed to or communicated through an aid; speech and eye contact are not required. If someone changes their mind, stop the action. Reteach with the unsure-seat card, keeping the exchange fictional and avoiding repeated pressure.</w:t>
      </w:r>
    </w:p>
    <w:p>
      <w:pPr>
        <w:pStyle w:val="Heading1"/>
      </w:pPr>
      <w:r>
        <w:rPr>
          <w:b w:val="0"/>
        </w:rPr>
        <w:t>Routes and task</w:t>
      </w:r>
    </w:p>
    <w:p>
      <w:r>
        <w:rPr>
          <w:b w:val="0"/>
        </w:rPr>
        <w:t>Supported: choose a relevant permission request from two choices, then choose respectful actions for two different boundary stories, with reading or scribing support. Independent: compose a request for borrowing, sitting nearby or offering help, then record responses and reasons for two different boundary situations. Aspire: retain the request and two responses, explain an unclear reply and a changed mind, and show how the person can avoid pressure.</w:t>
      </w:r>
    </w:p>
    <w:p>
      <w:r>
        <w:rPr>
          <w:b w:val="0"/>
        </w:rPr>
        <w:t>Use four minutes to form or select a permission request for a fictional everyday action. Use five minutes to decide what should happen in two different boundary stories, normally A and C. Use three minutes to explore B or D and show why an unclear response means waiting. If rehearsing, an adult narrates the characters and no real borrowing or touching takes place.</w:t>
      </w:r>
    </w:p>
    <w:p>
      <w:r>
        <w:rPr>
          <w:b w:val="0"/>
          <w:sz w:val="19"/>
        </w:rPr>
        <w:t>Read aloud, point, scribe exact words or use the usual communication aid. Record support without treating speech speed or handwriting as the target.</w:t>
      </w:r>
    </w:p>
    <w:p>
      <w:r>
        <w:br w:type="page"/>
      </w:r>
    </w:p>
    <w:p>
      <w:pPr>
        <w:pStyle w:val="Heading1"/>
      </w:pPr>
      <w:r>
        <w:rPr>
          <w:b w:val="0"/>
        </w:rPr>
        <w:t>Safe teaching and evidence</w:t>
      </w:r>
    </w:p>
    <w:p>
      <w:pPr>
        <w:pStyle w:val="Heading1"/>
      </w:pPr>
      <w:r>
        <w:rPr>
          <w:b w:val="0"/>
        </w:rPr>
        <w:t>Boundaries</w:t>
      </w:r>
    </w:p>
    <w:p>
      <w:r>
        <w:rPr>
          <w:b w:val="0"/>
        </w:rPr>
        <w:t>All teaching prompts concern fictional young people. Never ask about a learner’s own body, family or experiences. Use only the supplied diagrams and stories. No body checking, touching, removing clothes, photographs, real-life comparisons or personal role-play. An adult may read both parts of a fictional exchange; learners can choose or describe a response. Respect a pass, pause or quiet response without asking why. Follow the setting’s safeguarding procedure if a personal concern arises; do not turn a disclosure into lesson evidence. Use the agreed support and care arrangements.</w:t>
      </w:r>
    </w:p>
    <w:p>
      <w:pPr>
        <w:pStyle w:val="Heading1"/>
      </w:pPr>
      <w:r>
        <w:rPr>
          <w:b w:val="0"/>
        </w:rPr>
        <w:t>Assessment and feedback</w:t>
      </w:r>
    </w:p>
    <w:p>
      <w:r>
        <w:rPr>
          <w:b w:val="0"/>
        </w:rPr>
        <w:t>Record the actual request made or selected for the fictional person, with the intended action clear. Keep responses for two distinct boundary stories and what the person should do next. Record the mode, prompts and any changed response. Saying a stock phrase without responding to the boundary is incomplete evidence. Do not require speech, personal role-play or a real-life example.</w:t>
      </w:r>
    </w:p>
    <w:p>
      <w:r>
        <w:rPr>
          <w:b w:val="0"/>
          <w:sz w:val="19"/>
        </w:rPr>
        <w:t>Use VF · WS · I · NS+ (Yellow Box) · // self-edit · ? read back · R responded · E evidence in the evidence record. R requires Voice, Audience, a specific NS+ prompt and the learner response in their own colour. E is recorded only when actual work is banked. Record prompts and unfinished work. Blank sheets and adult models are not completed learner evidence.</w:t>
      </w:r>
    </w:p>
    <w:p>
      <w:pPr>
        <w:pStyle w:val="Heading1"/>
      </w:pPr>
      <w:r>
        <w:rPr>
          <w:b w:val="0"/>
        </w:rPr>
        <w:t>Learner voice and thread tags</w:t>
      </w:r>
    </w:p>
    <w:p>
      <w:r>
        <w:rPr>
          <w:b w:val="0"/>
        </w:rPr>
        <w:t>Space: calm seating and clear resources. Voice: an optional response about the fictional case. Audience: an adult listens or reads and responds. Influence: record any change to the task support or next teaching step. A pass is respected and does not require an explanation.</w:t>
      </w:r>
    </w:p>
    <w:p>
      <w:r>
        <w:rPr>
          <w:b w:val="0"/>
          <w:sz w:val="19"/>
        </w:rPr>
        <w:t>S: consider a fictional person’s dignity and choices. M: distinguish respectful actions from pressure or intrusion. So: listen and respond to another person’s boundary. IL: respect a choice to pause or use an aid. MR: respect privacy, personal space and a refusal. No other thread is claimed.</w:t>
      </w:r>
    </w:p>
    <w:p>
      <w:pPr>
        <w:pStyle w:val="Heading1"/>
      </w:pPr>
      <w:r>
        <w:rPr>
          <w:b w:val="0"/>
        </w:rPr>
        <w:t>Offer to the Communication portfolio</w:t>
      </w:r>
    </w:p>
    <w:p>
      <w:r>
        <w:rPr>
          <w:b w:val="0"/>
        </w:rPr>
        <w:t>A fictional request and response exchange may be offered to the Communication portfolio. Keep the learner’s actual words, choice or aid response and the adult’s reply. Staff confirm any mapping.</w:t>
      </w:r>
    </w:p>
    <w:p>
      <w:pPr>
        <w:pStyle w:val="Heading1"/>
      </w:pPr>
      <w:r>
        <w:rPr>
          <w:b w:val="0"/>
        </w:rPr>
        <w:t>Reflection and provenance</w:t>
      </w:r>
    </w:p>
    <w:p>
      <w:r>
        <w:rPr>
          <w:b w:val="0"/>
        </w:rPr>
        <w:t>Next teaching need: __________________________________________</w:t>
        <w:br/>
        <w:t>Learner request and change made: ______________________________</w:t>
      </w:r>
    </w:p>
    <w:p>
      <w:r>
        <w:rPr>
          <w:b w:val="0"/>
          <w:sz w:val="18"/>
        </w:rPr>
        <w:t>Source: owner_orders/BUILD_RSHE_Autumn2_YearA_outline, revision approved-2026-10-26. Tasks are newly authored. The qualification and the accredited unit require staff mapping of actual work. No completion is claimed. Sources: FACTS_LEDGER.md.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RSHE-BUILD-A2-W04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space and permission</dc:title>
  <dc:subject>RSHE-BUILD-A2-W04</dc:subject>
  <dc:creator/>
  <cp:keywords>Year A · RSHE</cp:keywords>
  <dc:description>Year A · RSHE</dc:description>
  <cp:lastModifiedBy/>
  <cp:revision>1</cp:revision>
  <dcterms:created xsi:type="dcterms:W3CDTF">2013-12-23T23:15:00Z</dcterms:created>
  <dcterms:modified xsi:type="dcterms:W3CDTF">2013-12-23T23:15:00Z</dcterms:modified>
  <cp:category/>
</cp:coreProperties>
</file>