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Staff answers and response guide</w:t>
      </w:r>
    </w:p>
    <w:p>
      <w:r>
        <w:rPr>
          <w:b w:val="0"/>
        </w:rPr>
        <w:t>Personal space and permission</w:t>
      </w:r>
    </w:p>
    <w:p>
      <w:r>
        <w:rPr>
          <w:b w:val="0"/>
        </w:rPr>
        <w:t>These are teaching guides. Record the learner’s actual response and support. All cards describe fictional young people, families and support roles. Never invite personal comparisons.</w:t>
      </w:r>
    </w:p>
    <w:p>
      <w:pPr>
        <w:pStyle w:val="Heading1"/>
      </w:pPr>
      <w:r>
        <w:rPr>
          <w:b w:val="0"/>
        </w:rPr>
        <w:t>Card key</w:t>
      </w:r>
    </w:p>
    <w:tbl>
      <w:tblPr>
        <w:tblStyle w:val="TableGrid"/>
        <w:tblW w:type="auto" w:w="0"/>
        <w:tblLayout w:type="fixed"/>
        <w:tblLook w:firstColumn="1" w:firstRow="1" w:lastColumn="0" w:lastRow="0" w:noHBand="0" w:noVBand="1" w:val="04A0"/>
      </w:tblPr>
      <w:tblGrid>
        <w:gridCol w:w="864"/>
        <w:gridCol w:w="4104"/>
        <w:gridCol w:w="4968"/>
      </w:tblGrid>
      <w:tr>
        <w:trPr>
          <w:tblHeader/>
        </w:trPr>
        <w:tc>
          <w:tcPr>
            <w:tcW w:type="dxa" w:w="864"/>
          </w:tcPr>
          <w:p>
            <w:pPr>
              <w:spacing w:after="60" w:before="40"/>
            </w:pPr>
            <w:r>
              <w:rPr>
                <w:b/>
                <w:sz w:val="19"/>
              </w:rPr>
              <w:t>Card</w:t>
            </w:r>
          </w:p>
        </w:tc>
        <w:tc>
          <w:tcPr>
            <w:tcW w:type="dxa" w:w="4104"/>
          </w:tcPr>
          <w:p>
            <w:pPr>
              <w:spacing w:after="60" w:before="40"/>
            </w:pPr>
            <w:r>
              <w:rPr>
                <w:b/>
                <w:sz w:val="19"/>
              </w:rPr>
              <w:t>Judgement</w:t>
            </w:r>
          </w:p>
        </w:tc>
        <w:tc>
          <w:tcPr>
            <w:tcW w:type="dxa" w:w="4968"/>
          </w:tcPr>
          <w:p>
            <w:pPr>
              <w:spacing w:after="60" w:before="40"/>
            </w:pPr>
            <w:r>
              <w:rPr>
                <w:b/>
                <w:sz w:val="19"/>
              </w:rPr>
              <w:t>Possible action</w:t>
            </w:r>
          </w:p>
        </w:tc>
      </w:tr>
      <w:tr>
        <w:tc>
          <w:tcPr>
            <w:tcW w:type="dxa" w:w="864"/>
          </w:tcPr>
          <w:p>
            <w:pPr>
              <w:spacing w:after="60" w:before="40"/>
            </w:pPr>
            <w:r>
              <w:rPr>
                <w:b w:val="0"/>
                <w:sz w:val="19"/>
              </w:rPr>
              <w:t>A</w:t>
            </w:r>
          </w:p>
        </w:tc>
        <w:tc>
          <w:tcPr>
            <w:tcW w:type="dxa" w:w="4104"/>
          </w:tcPr>
          <w:p>
            <w:pPr>
              <w:spacing w:after="60" w:before="40"/>
            </w:pPr>
            <w:r>
              <w:rPr>
                <w:b w:val="0"/>
                <w:sz w:val="19"/>
              </w:rPr>
              <w:t>Leave the pen alone.</w:t>
            </w:r>
          </w:p>
        </w:tc>
        <w:tc>
          <w:tcPr>
            <w:tcW w:type="dxa" w:w="4968"/>
          </w:tcPr>
          <w:p>
            <w:pPr>
              <w:spacing w:after="60" w:before="40"/>
            </w:pPr>
            <w:r>
              <w:rPr>
                <w:b w:val="0"/>
                <w:sz w:val="19"/>
              </w:rPr>
              <w:t>A request could be: could the young person use the pen for this task? After no, leave it and find another pen. Do not demand a reason or keep pressing.</w:t>
            </w:r>
          </w:p>
        </w:tc>
      </w:tr>
      <w:tr>
        <w:tc>
          <w:tcPr>
            <w:tcW w:type="dxa" w:w="864"/>
          </w:tcPr>
          <w:p>
            <w:pPr>
              <w:spacing w:after="60" w:before="40"/>
            </w:pPr>
            <w:r>
              <w:rPr>
                <w:b w:val="0"/>
                <w:sz w:val="19"/>
              </w:rPr>
              <w:t>B</w:t>
            </w:r>
          </w:p>
        </w:tc>
        <w:tc>
          <w:tcPr>
            <w:tcW w:type="dxa" w:w="4104"/>
          </w:tcPr>
          <w:p>
            <w:pPr>
              <w:spacing w:after="60" w:before="40"/>
            </w:pPr>
            <w:r>
              <w:rPr>
                <w:b w:val="0"/>
                <w:sz w:val="19"/>
              </w:rPr>
              <w:t>Wait and give space.</w:t>
            </w:r>
          </w:p>
        </w:tc>
        <w:tc>
          <w:tcPr>
            <w:tcW w:type="dxa" w:w="4968"/>
          </w:tcPr>
          <w:p>
            <w:pPr>
              <w:spacing w:after="60" w:before="40"/>
            </w:pPr>
            <w:r>
              <w:rPr>
                <w:b w:val="0"/>
                <w:sz w:val="19"/>
              </w:rPr>
              <w:t>Do not move closer. Offer time and another seat. The person does not need to explain a private reason.</w:t>
            </w:r>
          </w:p>
        </w:tc>
      </w:tr>
      <w:tr>
        <w:tc>
          <w:tcPr>
            <w:tcW w:type="dxa" w:w="864"/>
          </w:tcPr>
          <w:p>
            <w:pPr>
              <w:spacing w:after="60" w:before="40"/>
            </w:pPr>
            <w:r>
              <w:rPr>
                <w:b w:val="0"/>
                <w:sz w:val="19"/>
              </w:rPr>
              <w:t>C</w:t>
            </w:r>
          </w:p>
        </w:tc>
        <w:tc>
          <w:tcPr>
            <w:tcW w:type="dxa" w:w="4104"/>
          </w:tcPr>
          <w:p>
            <w:pPr>
              <w:spacing w:after="60" w:before="40"/>
            </w:pPr>
            <w:r>
              <w:rPr>
                <w:b w:val="0"/>
                <w:sz w:val="19"/>
              </w:rPr>
              <w:t>Stop helping with the model.</w:t>
            </w:r>
          </w:p>
        </w:tc>
        <w:tc>
          <w:tcPr>
            <w:tcW w:type="dxa" w:w="4968"/>
          </w:tcPr>
          <w:p>
            <w:pPr>
              <w:spacing w:after="60" w:before="40"/>
            </w:pPr>
            <w:r>
              <w:rPr>
                <w:b w:val="0"/>
                <w:sz w:val="19"/>
              </w:rPr>
              <w:t>Respect the changed mind. Do not carry on because the first answer was yes.</w:t>
            </w:r>
          </w:p>
        </w:tc>
      </w:tr>
      <w:tr>
        <w:tc>
          <w:tcPr>
            <w:tcW w:type="dxa" w:w="864"/>
          </w:tcPr>
          <w:p>
            <w:pPr>
              <w:spacing w:after="60" w:before="40"/>
            </w:pPr>
            <w:r>
              <w:rPr>
                <w:b w:val="0"/>
                <w:sz w:val="19"/>
              </w:rPr>
              <w:t>D</w:t>
            </w:r>
          </w:p>
        </w:tc>
        <w:tc>
          <w:tcPr>
            <w:tcW w:type="dxa" w:w="4104"/>
          </w:tcPr>
          <w:p>
            <w:pPr>
              <w:spacing w:after="60" w:before="40"/>
            </w:pPr>
            <w:r>
              <w:rPr>
                <w:b w:val="0"/>
                <w:sz w:val="19"/>
              </w:rPr>
              <w:t>Wait and check. Do not take the bag.</w:t>
            </w:r>
          </w:p>
        </w:tc>
        <w:tc>
          <w:tcPr>
            <w:tcW w:type="dxa" w:w="4968"/>
          </w:tcPr>
          <w:p>
            <w:pPr>
              <w:spacing w:after="60" w:before="40"/>
            </w:pPr>
            <w:r>
              <w:rPr>
                <w:b w:val="0"/>
                <w:sz w:val="19"/>
              </w:rPr>
              <w:t>No clear reply is not agreement. Allow time and a usual communication aid. Do not infer consent from a smile or a photograph.</w:t>
            </w:r>
          </w:p>
        </w:tc>
      </w:tr>
      <w:tr>
        <w:tc>
          <w:tcPr>
            <w:tcW w:type="dxa" w:w="864"/>
          </w:tcPr>
          <w:p>
            <w:pPr>
              <w:spacing w:after="60" w:before="40"/>
            </w:pPr>
            <w:r>
              <w:rPr>
                <w:b w:val="0"/>
                <w:sz w:val="19"/>
              </w:rPr>
              <w:t>E</w:t>
            </w:r>
          </w:p>
        </w:tc>
        <w:tc>
          <w:tcPr>
            <w:tcW w:type="dxa" w:w="4104"/>
          </w:tcPr>
          <w:p>
            <w:pPr>
              <w:spacing w:after="60" w:before="40"/>
            </w:pPr>
            <w:r>
              <w:rPr>
                <w:b w:val="0"/>
                <w:sz w:val="19"/>
              </w:rPr>
              <w:t>The agreed use can go ahead.</w:t>
            </w:r>
          </w:p>
        </w:tc>
        <w:tc>
          <w:tcPr>
            <w:tcW w:type="dxa" w:w="4968"/>
          </w:tcPr>
          <w:p>
            <w:pPr>
              <w:spacing w:after="60" w:before="40"/>
            </w:pPr>
            <w:r>
              <w:rPr>
                <w:b w:val="0"/>
                <w:sz w:val="19"/>
              </w:rPr>
              <w:t>Use the pen only for that task and return it. Check again for a different use. A clear response can be non-speaking.</w:t>
            </w:r>
          </w:p>
        </w:tc>
      </w:tr>
      <w:tr>
        <w:tc>
          <w:tcPr>
            <w:tcW w:type="dxa" w:w="864"/>
          </w:tcPr>
          <w:p>
            <w:pPr>
              <w:spacing w:after="60" w:before="40"/>
            </w:pPr>
            <w:r>
              <w:rPr>
                <w:b w:val="0"/>
                <w:sz w:val="19"/>
              </w:rPr>
              <w:t>F</w:t>
            </w:r>
          </w:p>
        </w:tc>
        <w:tc>
          <w:tcPr>
            <w:tcW w:type="dxa" w:w="4104"/>
          </w:tcPr>
          <w:p>
            <w:pPr>
              <w:spacing w:after="60" w:before="40"/>
            </w:pPr>
            <w:r>
              <w:rPr>
                <w:b w:val="0"/>
                <w:sz w:val="19"/>
              </w:rPr>
              <w:t>The pressure must stop.</w:t>
            </w:r>
          </w:p>
        </w:tc>
        <w:tc>
          <w:tcPr>
            <w:tcW w:type="dxa" w:w="4968"/>
          </w:tcPr>
          <w:p>
            <w:pPr>
              <w:spacing w:after="60" w:before="40"/>
            </w:pPr>
            <w:r>
              <w:rPr>
                <w:b w:val="0"/>
                <w:sz w:val="19"/>
              </w:rPr>
              <w:t>Respect the first refusal. Repeated requests used to wear someone down are not respectful permission seeking.</w:t>
            </w:r>
          </w:p>
        </w:tc>
      </w:tr>
    </w:tbl>
    <w:p>
      <w:pPr>
        <w:pStyle w:val="Heading1"/>
      </w:pPr>
      <w:r>
        <w:rPr>
          <w:b w:val="0"/>
        </w:rPr>
        <w:t>Model and hinge</w:t>
      </w:r>
    </w:p>
    <w:p>
      <w:r>
        <w:rPr>
          <w:b w:val="0"/>
        </w:rPr>
        <w:t>A young person wants to borrow a pen. They could ask to use it for the task. The other person says no. The young person leaves the pen alone. They do not keep asking to wear the person down. They can ask an adult for another pen.</w:t>
      </w:r>
    </w:p>
    <w:p>
      <w:r>
        <w:rPr>
          <w:b w:val="0"/>
        </w:rPr>
        <w:t>A respects an unclear response. Silence, uncertainty or lack of a spoken no is not agreement. A clear freely given yes may be spoken, signed, pointed to or communicated through an aid; speech and eye contact are not required. If someone changes their mind, stop the action. Reteach with the unsure-seat card, keeping the exchange fictional and avoiding repeated pressure.</w:t>
      </w:r>
    </w:p>
    <w:p>
      <w:pPr>
        <w:pStyle w:val="Heading1"/>
      </w:pPr>
      <w:r>
        <w:rPr>
          <w:b w:val="0"/>
        </w:rPr>
        <w:t>Individual evidence key</w:t>
      </w:r>
    </w:p>
    <w:p>
      <w:r>
        <w:rPr>
          <w:b w:val="0"/>
        </w:rPr>
        <w:t>Record the actual request made or selected for the fictional person, with the intended action clear. Keep responses for two distinct boundary stories and what the person should do next. Record the mode, prompts and any changed response. Saying a stock phrase without responding to the boundary is incomplete evidence. Do not require speech, personal role-play or a real-life example.</w:t>
      </w:r>
    </w:p>
    <w:p>
      <w:r>
        <w:br w:type="page"/>
      </w:r>
    </w:p>
    <w:p>
      <w:pPr>
        <w:pStyle w:val="Heading1"/>
      </w:pPr>
      <w:r>
        <w:rPr>
          <w:b w:val="0"/>
        </w:rPr>
        <w:t>Feedback and next teaching</w:t>
      </w:r>
    </w:p>
    <w:p>
      <w:pPr>
        <w:pStyle w:val="Heading1"/>
      </w:pPr>
      <w:r>
        <w:rPr>
          <w:b w:val="0"/>
        </w:rPr>
        <w:t>Practical check</w:t>
      </w:r>
    </w:p>
    <w:p>
      <w:r>
        <w:rPr>
          <w:b w:val="0"/>
        </w:rPr>
        <w:t>The core evidence is one request plus two distinct boundary responses. Use A and C to include no and a changed mind; B and D explore uncertainty and no clear reply. E shows a freely communicated non-speaking yes; F shows pressure. An adult may read a fictional request and reply; learners can choose, describe or record what should happen. Do not ask learners to practise personal boundaries on each other.</w:t>
      </w:r>
    </w:p>
    <w:p>
      <w:pPr>
        <w:pStyle w:val="Heading1"/>
      </w:pPr>
      <w:r>
        <w:rPr>
          <w:b w:val="0"/>
        </w:rPr>
        <w:t>Common misunderstandings</w:t>
      </w:r>
    </w:p>
    <w:p>
      <w:r>
        <w:rPr>
          <w:b w:val="0"/>
        </w:rPr>
        <w:t>Silence or no clear reply is not agreement. A yes must be freely given and specific to the action. A person can change their mind. Someone does not owe a private reason for saying no. Permission can be communicated without speech. This lesson concerns everyday actions and does not teach legal rules about sexual consent.</w:t>
      </w:r>
    </w:p>
    <w:p>
      <w:pPr>
        <w:pStyle w:val="Heading1"/>
      </w:pPr>
      <w:r>
        <w:rPr>
          <w:b w:val="0"/>
        </w:rPr>
        <w:t>Teaching boundary</w:t>
      </w:r>
    </w:p>
    <w:p>
      <w:r>
        <w:rPr>
          <w:b w:val="0"/>
        </w:rPr>
        <w:t>All teaching prompts concern fictional young people. Never ask about a learner’s own body, family or experiences. Use only the supplied diagrams and stories. No body checking, touching, removing clothes, photographs, real-life comparisons or personal role-play. An adult may read both parts of a fictional exchange; learners can choose or describe a response. Respect a pass, pause or quiet response without asking why. Follow the setting’s safeguarding procedure if a personal concern arises; do not turn a disclosure into lesson evidence. Use the agreed support and care arrangements.</w:t>
      </w:r>
    </w:p>
    <w:p>
      <w:pPr>
        <w:pStyle w:val="Heading1"/>
      </w:pPr>
      <w:r>
        <w:rPr>
          <w:b w:val="0"/>
        </w:rPr>
        <w:t>Feedback and follow-up</w:t>
      </w:r>
    </w:p>
    <w:p>
      <w:r>
        <w:rPr>
          <w:b w:val="0"/>
        </w:rPr>
        <w:t>Use VF · WS · I · NS+ (Yellow Box) · // self-edit · ? read back · R responded · E evidence in the evidence record. R requires Voice, Audience, a specific NS+ prompt and the learner response in their own colour. E is recorded only when actual work is banked. Record prompts and unfinished work. Blank sheets and adult models are not completed learner evidence.</w:t>
      </w:r>
    </w:p>
    <w:p>
      <w:r>
        <w:rPr>
          <w:b w:val="0"/>
        </w:rPr>
        <w:t>If work is incomplete, name the gap and arrange a supported follow-up. No qualification completion is claimed.</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RSHE-BUILD-A2-W04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space and permission</dc:title>
  <dc:subject>RSHE-BUILD-A2-W04</dc:subject>
  <dc:creator/>
  <cp:keywords>Year A · RSHE</cp:keywords>
  <dc:description>Year A · RSHE</dc:description>
  <cp:lastModifiedBy/>
  <cp:revision>1</cp:revision>
  <dcterms:created xsi:type="dcterms:W3CDTF">2013-12-23T23:15:00Z</dcterms:created>
  <dcterms:modified xsi:type="dcterms:W3CDTF">2013-12-23T23:15:00Z</dcterms:modified>
  <cp:category/>
</cp:coreProperties>
</file>