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Assessment protocol and key</w:t>
      </w:r>
    </w:p>
    <w:p>
      <w:r>
        <w:t>Care, boundaries and help: assessing lesson</w:t>
      </w:r>
    </w:p>
    <w:p>
      <w:r>
        <w:t>Year A · Identity &amp; Belonging · 14–18 December 2026 · 40 minutes</w:t>
      </w:r>
    </w:p>
    <w:p>
      <w:r>
        <w:t>Assess familiar learning through fictional tasks. Keep the word mat and earlier answers closed during initial checks. Read exactly and scribe without correction. Record the supplied word bank as a task condition; record additional answer cues, reduced options, models or reasons as content support. A pause or unobserved task is not a wrong answer.</w:t>
      </w:r>
    </w:p>
    <w:tbl>
      <w:tblPr>
        <w:tblStyle w:val="TableGrid"/>
        <w:tblW w:type="auto" w:w="0"/>
        <w:tblLayout w:type="fixed"/>
        <w:tblLook w:firstColumn="1" w:firstRow="1" w:lastColumn="0" w:lastRow="0" w:noHBand="0" w:noVBand="1" w:val="04A0"/>
      </w:tblPr>
      <w:tblGrid>
        <w:gridCol w:w="1928"/>
        <w:gridCol w:w="7143"/>
      </w:tblGrid>
      <w:tr>
        <w:trPr>
          <w:cantSplit/>
        </w:trPr>
        <w:tc>
          <w:tcPr>
            <w:tcW w:type="dxa" w:w="1928"/>
            <w:shd w:fill="E4F0EF"/>
          </w:tcPr>
          <w:p>
            <w:pPr>
              <w:spacing w:after="100" w:before="60"/>
            </w:pPr>
            <w:r>
              <w:rPr>
                <w:b/>
              </w:rPr>
              <w:t>Check</w:t>
            </w:r>
          </w:p>
        </w:tc>
        <w:tc>
          <w:tcPr>
            <w:tcW w:type="dxa" w:w="7143"/>
            <w:shd w:fill="E4F0EF"/>
          </w:tcPr>
          <w:p>
            <w:pPr>
              <w:spacing w:after="100" w:before="60"/>
            </w:pPr>
            <w:r>
              <w:rPr>
                <w:b/>
              </w:rPr>
              <w:t>Expected evidence</w:t>
            </w:r>
          </w:p>
        </w:tc>
      </w:tr>
      <w:tr>
        <w:trPr>
          <w:cantSplit/>
        </w:trPr>
        <w:tc>
          <w:tcPr>
            <w:tcW w:type="dxa" w:w="1928"/>
          </w:tcPr>
          <w:p>
            <w:pPr>
              <w:spacing w:after="100" w:before="60"/>
            </w:pPr>
            <w:r>
              <w:t>A · Care</w:t>
            </w:r>
          </w:p>
        </w:tc>
        <w:tc>
          <w:tcPr>
            <w:tcW w:type="dxa" w:w="7143"/>
          </w:tcPr>
          <w:p>
            <w:pPr>
              <w:spacing w:after="100" w:before="60"/>
            </w:pPr>
            <w:r>
              <w:t>Waiting while the person uses an aid shows care. Accept listening, giving time or letting them finish, with a relevant reason. Do not infer care solely from an adult role or face.</w:t>
            </w:r>
          </w:p>
        </w:tc>
      </w:tr>
      <w:tr>
        <w:trPr>
          <w:cantSplit/>
        </w:trPr>
        <w:tc>
          <w:tcPr>
            <w:tcW w:type="dxa" w:w="1928"/>
          </w:tcPr>
          <w:p>
            <w:pPr>
              <w:spacing w:after="100" w:before="60"/>
            </w:pPr>
            <w:r>
              <w:t>Taught words</w:t>
            </w:r>
          </w:p>
        </w:tc>
        <w:tc>
          <w:tcPr>
            <w:tcW w:type="dxa" w:w="7143"/>
          </w:tcPr>
          <w:p>
            <w:pPr>
              <w:spacing w:after="100" w:before="60"/>
            </w:pPr>
            <w:r>
              <w:t>A–4: penis. B–2: scrotum. C–3: testicles. D–1: vulva. Record each first match, the word bank and any extra prompt. These terms and definitions were supplied in Week 3. This is a matching check, not unprompted recall or a full anatomy assessment.</w:t>
            </w:r>
          </w:p>
        </w:tc>
      </w:tr>
      <w:tr>
        <w:trPr>
          <w:cantSplit/>
        </w:trPr>
        <w:tc>
          <w:tcPr>
            <w:tcW w:type="dxa" w:w="1928"/>
          </w:tcPr>
          <w:p>
            <w:pPr>
              <w:spacing w:after="100" w:before="60"/>
            </w:pPr>
            <w:r>
              <w:t>B · Privacy</w:t>
            </w:r>
          </w:p>
        </w:tc>
        <w:tc>
          <w:tcPr>
            <w:tcW w:type="dxa" w:w="7143"/>
          </w:tcPr>
          <w:p>
            <w:pPr>
              <w:spacing w:after="100" w:before="60"/>
            </w:pPr>
            <w:r>
              <w:t>The act respects privacy. Wait outside for a reply and permission; do not assume permission to enter. A young person can still seek help about a private worry.</w:t>
            </w:r>
          </w:p>
        </w:tc>
      </w:tr>
      <w:tr>
        <w:trPr>
          <w:cantSplit/>
        </w:trPr>
        <w:tc>
          <w:tcPr>
            <w:tcW w:type="dxa" w:w="1928"/>
          </w:tcPr>
          <w:p>
            <w:pPr>
              <w:spacing w:after="100" w:before="60"/>
            </w:pPr>
            <w:r>
              <w:t>C · Permission</w:t>
            </w:r>
          </w:p>
        </w:tc>
        <w:tc>
          <w:tcPr>
            <w:tcW w:type="dxa" w:w="7143"/>
          </w:tcPr>
          <w:p>
            <w:pPr>
              <w:spacing w:after="100" w:before="60"/>
            </w:pPr>
            <w:r>
              <w:t>Respect no: leave the pen alone and find another option. Do not press for yes or demand a reason. Accept a story-based explanation.</w:t>
            </w:r>
          </w:p>
        </w:tc>
      </w:tr>
      <w:tr>
        <w:trPr>
          <w:cantSplit/>
        </w:trPr>
        <w:tc>
          <w:tcPr>
            <w:tcW w:type="dxa" w:w="1928"/>
          </w:tcPr>
          <w:p>
            <w:pPr>
              <w:spacing w:after="100" w:before="60"/>
            </w:pPr>
            <w:r>
              <w:t>D · Help request</w:t>
            </w:r>
          </w:p>
        </w:tc>
        <w:tc>
          <w:tcPr>
            <w:tcW w:type="dxa" w:w="7143"/>
          </w:tcPr>
          <w:p>
            <w:pPr>
              <w:spacing w:after="100" w:before="60"/>
            </w:pPr>
            <w:r>
              <w:t>Choose the tutor and communicate the bag worry plus a request for help. Example guide: the young person needs help because a peer keeps moving their bag; could the adult help stop it? Accept an aid, sign, note, point or equivalent request.</w:t>
            </w:r>
          </w:p>
        </w:tc>
      </w:tr>
      <w:tr>
        <w:trPr>
          <w:cantSplit/>
        </w:trPr>
        <w:tc>
          <w:tcPr>
            <w:tcW w:type="dxa" w:w="1928"/>
          </w:tcPr>
          <w:p>
            <w:pPr>
              <w:spacing w:after="100" w:before="60"/>
            </w:pPr>
            <w:r>
              <w:t>E · Follow-up</w:t>
            </w:r>
          </w:p>
        </w:tc>
        <w:tc>
          <w:tcPr>
            <w:tcW w:type="dxa" w:w="7143"/>
          </w:tcPr>
          <w:p>
            <w:pPr>
              <w:spacing w:after="100" w:before="60"/>
            </w:pPr>
            <w:r>
              <w:t>Choose the duty adult, explain the same unresolved worry and ask for help. Another established trusted-adult route is valid if justified and recorded. The young person need not confront the peer first.</w:t>
            </w:r>
          </w:p>
        </w:tc>
      </w:tr>
    </w:tbl>
    <w:p>
      <w:pPr>
        <w:pStyle w:val="Heading2"/>
      </w:pPr>
      <w:r>
        <w:t>Taught-word substitution note</w:t>
      </w:r>
    </w:p>
    <w:p>
      <w:r>
        <w:t>Before the lesson, check the Week 3 record. Use only terms actually taught. If a planned term or visual was not taught or is not suitable, use an already-taught neutral body term or omit that item under the agreed teaching plan. Record the exact substitute, prior teaching reference, reason and response. Never mark the original term as achieved from a substitute. Mark it not assessed and plan follow-up separately. Do not add new vocabulary in this assessment. No body image or personal comparison is required here.</w:t>
      </w:r>
    </w:p>
    <w:p>
      <w:r>
        <w:br w:type="page"/>
      </w:r>
    </w:p>
    <w:p>
      <w:pPr>
        <w:pStyle w:val="Title"/>
      </w:pPr>
      <w:r>
        <w:t>Half-term evidence audit</w:t>
      </w:r>
    </w:p>
    <w:p>
      <w:r>
        <w:t>Learner code __________  Review date __________  Staff role __________</w:t>
      </w:r>
    </w:p>
    <w:p>
      <w:r>
        <w:t>Record actual work references and dates, individual responses and help. Mark present, partial, missing or not observed. Do not backdate new work or infer learning from attendance. All evidence concerns fictional cases.</w:t>
      </w:r>
    </w:p>
    <w:tbl>
      <w:tblPr>
        <w:tblStyle w:val="TableGrid"/>
        <w:tblW w:type="auto" w:w="0"/>
        <w:tblLayout w:type="fixed"/>
        <w:tblLook w:firstColumn="1" w:firstRow="1" w:lastColumn="0" w:lastRow="0" w:noHBand="0" w:noVBand="1" w:val="04A0"/>
      </w:tblPr>
      <w:tblGrid>
        <w:gridCol w:w="4082"/>
        <w:gridCol w:w="4989"/>
      </w:tblGrid>
      <w:tr>
        <w:trPr>
          <w:cantSplit/>
        </w:trPr>
        <w:tc>
          <w:tcPr>
            <w:tcW w:type="dxa" w:w="4082"/>
            <w:shd w:fill="E4F0EF"/>
          </w:tcPr>
          <w:p>
            <w:pPr>
              <w:spacing w:after="100" w:before="60"/>
            </w:pPr>
            <w:r>
              <w:rPr>
                <w:b/>
              </w:rPr>
              <w:t>Week and focus</w:t>
            </w:r>
          </w:p>
        </w:tc>
        <w:tc>
          <w:tcPr>
            <w:tcW w:type="dxa" w:w="4989"/>
            <w:shd w:fill="E4F0EF"/>
          </w:tcPr>
          <w:p>
            <w:pPr>
              <w:spacing w:after="100" w:before="60"/>
            </w:pPr>
            <w:r>
              <w:rPr>
                <w:b/>
              </w:rPr>
              <w:t>Work code, date, help and status</w:t>
            </w:r>
          </w:p>
        </w:tc>
      </w:tr>
      <w:tr>
        <w:trPr>
          <w:cantSplit/>
        </w:trPr>
        <w:tc>
          <w:tcPr>
            <w:tcW w:type="dxa" w:w="4082"/>
          </w:tcPr>
          <w:p>
            <w:pPr>
              <w:spacing w:after="100" w:before="60"/>
            </w:pPr>
            <w:r>
              <w:t>1 · Caring action and support map</w:t>
            </w:r>
          </w:p>
        </w:tc>
        <w:tc>
          <w:tcPr>
            <w:tcW w:type="dxa" w:w="4989"/>
          </w:tcPr>
          <w:p>
            <w:pPr>
              <w:spacing w:after="100" w:before="60"/>
            </w:pPr>
            <w:r>
              <w:t>____________________________</w:t>
              <w:br/>
              <w:t>____________________________</w:t>
            </w:r>
          </w:p>
        </w:tc>
      </w:tr>
      <w:tr>
        <w:trPr>
          <w:cantSplit/>
        </w:trPr>
        <w:tc>
          <w:tcPr>
            <w:tcW w:type="dxa" w:w="4082"/>
          </w:tcPr>
          <w:p>
            <w:pPr>
              <w:spacing w:after="100" w:before="60"/>
            </w:pPr>
            <w:r>
              <w:t>2 · Comfort or discomfort; help or pause</w:t>
            </w:r>
          </w:p>
        </w:tc>
        <w:tc>
          <w:tcPr>
            <w:tcW w:type="dxa" w:w="4989"/>
          </w:tcPr>
          <w:p>
            <w:pPr>
              <w:spacing w:after="100" w:before="60"/>
            </w:pPr>
            <w:r>
              <w:t>____________________________</w:t>
              <w:br/>
              <w:t>____________________________</w:t>
            </w:r>
          </w:p>
        </w:tc>
      </w:tr>
      <w:tr>
        <w:trPr>
          <w:cantSplit/>
        </w:trPr>
        <w:tc>
          <w:tcPr>
            <w:tcW w:type="dxa" w:w="4082"/>
          </w:tcPr>
          <w:p>
            <w:pPr>
              <w:spacing w:after="100" w:before="60"/>
            </w:pPr>
            <w:r>
              <w:t>3 · Taught body words and privacy decisions</w:t>
            </w:r>
          </w:p>
        </w:tc>
        <w:tc>
          <w:tcPr>
            <w:tcW w:type="dxa" w:w="4989"/>
          </w:tcPr>
          <w:p>
            <w:pPr>
              <w:spacing w:after="100" w:before="60"/>
            </w:pPr>
            <w:r>
              <w:t>____________________________</w:t>
              <w:br/>
              <w:t>____________________________</w:t>
            </w:r>
          </w:p>
        </w:tc>
      </w:tr>
      <w:tr>
        <w:trPr>
          <w:cantSplit/>
        </w:trPr>
        <w:tc>
          <w:tcPr>
            <w:tcW w:type="dxa" w:w="4082"/>
          </w:tcPr>
          <w:p>
            <w:pPr>
              <w:spacing w:after="100" w:before="60"/>
            </w:pPr>
            <w:r>
              <w:t>4 · Permission request and boundary responses</w:t>
            </w:r>
          </w:p>
        </w:tc>
        <w:tc>
          <w:tcPr>
            <w:tcW w:type="dxa" w:w="4989"/>
          </w:tcPr>
          <w:p>
            <w:pPr>
              <w:spacing w:after="100" w:before="60"/>
            </w:pPr>
            <w:r>
              <w:t>____________________________</w:t>
              <w:br/>
              <w:t>____________________________</w:t>
            </w:r>
          </w:p>
        </w:tc>
      </w:tr>
      <w:tr>
        <w:trPr>
          <w:cantSplit/>
        </w:trPr>
        <w:tc>
          <w:tcPr>
            <w:tcW w:type="dxa" w:w="4082"/>
          </w:tcPr>
          <w:p>
            <w:pPr>
              <w:spacing w:after="100" w:before="60"/>
            </w:pPr>
            <w:r>
              <w:t>5 · Caring, unkind or pressuring acts; helpful step</w:t>
            </w:r>
          </w:p>
        </w:tc>
        <w:tc>
          <w:tcPr>
            <w:tcW w:type="dxa" w:w="4989"/>
          </w:tcPr>
          <w:p>
            <w:pPr>
              <w:spacing w:after="100" w:before="60"/>
            </w:pPr>
            <w:r>
              <w:t>____________________________</w:t>
              <w:br/>
              <w:t>____________________________</w:t>
            </w:r>
          </w:p>
        </w:tc>
      </w:tr>
      <w:tr>
        <w:trPr>
          <w:cantSplit/>
        </w:trPr>
        <w:tc>
          <w:tcPr>
            <w:tcW w:type="dxa" w:w="4082"/>
          </w:tcPr>
          <w:p>
            <w:pPr>
              <w:spacing w:after="100" w:before="60"/>
            </w:pPr>
            <w:r>
              <w:t>6 · Help request, route and follow-up</w:t>
            </w:r>
          </w:p>
        </w:tc>
        <w:tc>
          <w:tcPr>
            <w:tcW w:type="dxa" w:w="4989"/>
          </w:tcPr>
          <w:p>
            <w:pPr>
              <w:spacing w:after="100" w:before="60"/>
            </w:pPr>
            <w:r>
              <w:t>____________________________</w:t>
              <w:br/>
              <w:t>____________________________</w:t>
            </w:r>
          </w:p>
        </w:tc>
      </w:tr>
    </w:tbl>
    <w:p>
      <w:r>
        <w:t>Strongest supported claim and work reference</w:t>
      </w:r>
    </w:p>
    <w:p>
      <w:r>
        <w:t>____________________________________________________</w:t>
      </w:r>
    </w:p>
    <w:p>
      <w:r>
        <w:t>Gap and planned dated check</w:t>
      </w:r>
    </w:p>
    <w:p>
      <w:r>
        <w:t>____________________________________________________</w:t>
      </w:r>
    </w:p>
    <w:p>
      <w:pPr>
        <w:pStyle w:val="Heading2"/>
      </w:pPr>
      <w:r>
        <w:t>Safe assessment</w:t>
      </w:r>
    </w:p>
    <w:p>
      <w:r>
        <w:t>All prompts are about fictional young people. Never ask about a learner’s own body, family or experiences. No touching, personal role-play or real-life comparison is required. An adult may narrate the fictional parts while the learner chooses or explains. Respect a pass, pause or aid without asking why. If a real concern arises, listen calmly and follow the setting’s safeguarding procedure promptly. Do not promise secrecy or use a disclosure as lesson evidence. Safety is the adult’s responsibility; a child is never to blame for another person’s harmful act.</w:t>
      </w:r>
    </w:p>
    <w:p>
      <w:r>
        <w:br w:type="page"/>
      </w:r>
    </w:p>
    <w:p>
      <w:pPr>
        <w:pStyle w:val="Title"/>
      </w:pPr>
      <w:r>
        <w:t>Individual assessment review</w:t>
      </w:r>
    </w:p>
    <w:p>
      <w:r>
        <w:t>Learner code __________  Review date __________  Staff role __________</w:t>
      </w:r>
    </w:p>
    <w:p>
      <w:r>
        <w:t>For each criterion use: shown on this task without extra content prompt; shown with content support; not yet shown; or not observed/not assessed. Record access support separately. Keep omitted terms and incomplete criteria clear. No total score or qualification result is inferred.</w:t>
      </w:r>
    </w:p>
    <w:tbl>
      <w:tblPr>
        <w:tblStyle w:val="TableGrid"/>
        <w:tblW w:type="auto" w:w="0"/>
        <w:tblLayout w:type="fixed"/>
        <w:tblLook w:firstColumn="1" w:firstRow="1" w:lastColumn="0" w:lastRow="0" w:noHBand="0" w:noVBand="1" w:val="04A0"/>
      </w:tblPr>
      <w:tblGrid>
        <w:gridCol w:w="4535"/>
        <w:gridCol w:w="4535"/>
      </w:tblGrid>
      <w:tr>
        <w:trPr>
          <w:cantSplit/>
        </w:trPr>
        <w:tc>
          <w:tcPr>
            <w:tcW w:type="dxa" w:w="4535"/>
            <w:shd w:fill="E4F0EF"/>
          </w:tcPr>
          <w:p>
            <w:pPr>
              <w:spacing w:after="100" w:before="60"/>
            </w:pPr>
            <w:r>
              <w:rPr>
                <w:b/>
              </w:rPr>
              <w:t>Criterion</w:t>
            </w:r>
          </w:p>
        </w:tc>
        <w:tc>
          <w:tcPr>
            <w:tcW w:type="dxa" w:w="4535"/>
            <w:shd w:fill="E4F0EF"/>
          </w:tcPr>
          <w:p>
            <w:pPr>
              <w:spacing w:after="100" w:before="60"/>
            </w:pPr>
            <w:r>
              <w:rPr>
                <w:b/>
              </w:rPr>
              <w:t>Initial judgement and evidence reference</w:t>
            </w:r>
          </w:p>
        </w:tc>
      </w:tr>
      <w:tr>
        <w:trPr>
          <w:cantSplit/>
        </w:trPr>
        <w:tc>
          <w:tcPr>
            <w:tcW w:type="dxa" w:w="4535"/>
          </w:tcPr>
          <w:p>
            <w:pPr>
              <w:spacing w:after="100" w:before="60"/>
            </w:pPr>
            <w:r>
              <w:t>Care action with relevant reason</w:t>
            </w:r>
          </w:p>
        </w:tc>
        <w:tc>
          <w:tcPr>
            <w:tcW w:type="dxa" w:w="4535"/>
          </w:tcPr>
          <w:p>
            <w:pPr>
              <w:spacing w:after="100" w:before="60"/>
            </w:pPr>
            <w:r>
              <w:t>____________________________</w:t>
            </w:r>
          </w:p>
        </w:tc>
      </w:tr>
      <w:tr>
        <w:trPr>
          <w:cantSplit/>
        </w:trPr>
        <w:tc>
          <w:tcPr>
            <w:tcW w:type="dxa" w:w="4535"/>
          </w:tcPr>
          <w:p>
            <w:pPr>
              <w:spacing w:after="100" w:before="60"/>
            </w:pPr>
            <w:r>
              <w:t>Taught-word matches: each term recorded</w:t>
            </w:r>
          </w:p>
        </w:tc>
        <w:tc>
          <w:tcPr>
            <w:tcW w:type="dxa" w:w="4535"/>
          </w:tcPr>
          <w:p>
            <w:pPr>
              <w:spacing w:after="100" w:before="60"/>
            </w:pPr>
            <w:r>
              <w:t>____________________________</w:t>
            </w:r>
          </w:p>
        </w:tc>
      </w:tr>
      <w:tr>
        <w:trPr>
          <w:cantSplit/>
        </w:trPr>
        <w:tc>
          <w:tcPr>
            <w:tcW w:type="dxa" w:w="4535"/>
          </w:tcPr>
          <w:p>
            <w:pPr>
              <w:spacing w:after="100" w:before="60"/>
            </w:pPr>
            <w:r>
              <w:t>Privacy decision and next action</w:t>
            </w:r>
          </w:p>
        </w:tc>
        <w:tc>
          <w:tcPr>
            <w:tcW w:type="dxa" w:w="4535"/>
          </w:tcPr>
          <w:p>
            <w:pPr>
              <w:spacing w:after="100" w:before="60"/>
            </w:pPr>
            <w:r>
              <w:t>____________________________</w:t>
            </w:r>
          </w:p>
        </w:tc>
      </w:tr>
      <w:tr>
        <w:trPr>
          <w:cantSplit/>
        </w:trPr>
        <w:tc>
          <w:tcPr>
            <w:tcW w:type="dxa" w:w="4535"/>
          </w:tcPr>
          <w:p>
            <w:pPr>
              <w:spacing w:after="100" w:before="60"/>
            </w:pPr>
            <w:r>
              <w:t>Permission response and story reason</w:t>
            </w:r>
          </w:p>
        </w:tc>
        <w:tc>
          <w:tcPr>
            <w:tcW w:type="dxa" w:w="4535"/>
          </w:tcPr>
          <w:p>
            <w:pPr>
              <w:spacing w:after="100" w:before="60"/>
            </w:pPr>
            <w:r>
              <w:t>____________________________</w:t>
            </w:r>
          </w:p>
        </w:tc>
      </w:tr>
      <w:tr>
        <w:trPr>
          <w:cantSplit/>
        </w:trPr>
        <w:tc>
          <w:tcPr>
            <w:tcW w:type="dxa" w:w="4535"/>
          </w:tcPr>
          <w:p>
            <w:pPr>
              <w:spacing w:after="100" w:before="60"/>
            </w:pPr>
            <w:r>
              <w:t>Request: adult, worry and help sought</w:t>
            </w:r>
          </w:p>
        </w:tc>
        <w:tc>
          <w:tcPr>
            <w:tcW w:type="dxa" w:w="4535"/>
          </w:tcPr>
          <w:p>
            <w:pPr>
              <w:spacing w:after="100" w:before="60"/>
            </w:pPr>
            <w:r>
              <w:t>____________________________</w:t>
            </w:r>
          </w:p>
        </w:tc>
      </w:tr>
      <w:tr>
        <w:trPr>
          <w:cantSplit/>
        </w:trPr>
        <w:tc>
          <w:tcPr>
            <w:tcW w:type="dxa" w:w="4535"/>
          </w:tcPr>
          <w:p>
            <w:pPr>
              <w:spacing w:after="100" w:before="60"/>
            </w:pPr>
            <w:r>
              <w:t>Follow-up adult and request</w:t>
            </w:r>
          </w:p>
        </w:tc>
        <w:tc>
          <w:tcPr>
            <w:tcW w:type="dxa" w:w="4535"/>
          </w:tcPr>
          <w:p>
            <w:pPr>
              <w:spacing w:after="100" w:before="60"/>
            </w:pPr>
            <w:r>
              <w:t>____________________________</w:t>
            </w:r>
          </w:p>
        </w:tc>
      </w:tr>
    </w:tbl>
    <w:p>
      <w:pPr>
        <w:pStyle w:val="Heading2"/>
      </w:pPr>
      <w:r>
        <w:t>After feedback: keep this separate</w:t>
      </w:r>
    </w:p>
    <w:tbl>
      <w:tblPr>
        <w:tblStyle w:val="TableGrid"/>
        <w:tblW w:type="auto" w:w="0"/>
        <w:tblLayout w:type="fixed"/>
        <w:tblLook w:firstColumn="1" w:firstRow="1" w:lastColumn="0" w:lastRow="0" w:noHBand="0" w:noVBand="1" w:val="04A0"/>
      </w:tblPr>
      <w:tblGrid>
        <w:gridCol w:w="3855"/>
        <w:gridCol w:w="5216"/>
      </w:tblGrid>
      <w:tr>
        <w:trPr>
          <w:cantSplit/>
        </w:trPr>
        <w:tc>
          <w:tcPr>
            <w:tcW w:type="dxa" w:w="3855"/>
            <w:shd w:fill="E4F0EF"/>
          </w:tcPr>
          <w:p>
            <w:pPr>
              <w:spacing w:after="100" w:before="60"/>
            </w:pPr>
            <w:r>
              <w:rPr>
                <w:b/>
              </w:rPr>
              <w:t>Record</w:t>
            </w:r>
          </w:p>
        </w:tc>
        <w:tc>
          <w:tcPr>
            <w:tcW w:type="dxa" w:w="5216"/>
            <w:shd w:fill="E4F0EF"/>
          </w:tcPr>
          <w:p>
            <w:pPr>
              <w:spacing w:after="100" w:before="60"/>
            </w:pPr>
            <w:r>
              <w:rPr>
                <w:b/>
              </w:rPr>
              <w:t>Actual response and reference</w:t>
            </w:r>
          </w:p>
        </w:tc>
      </w:tr>
      <w:tr>
        <w:trPr>
          <w:cantSplit/>
        </w:trPr>
        <w:tc>
          <w:tcPr>
            <w:tcW w:type="dxa" w:w="3855"/>
          </w:tcPr>
          <w:p>
            <w:pPr>
              <w:spacing w:after="100" w:before="60"/>
            </w:pPr>
            <w:r>
              <w:t>Specific feedback point</w:t>
            </w:r>
          </w:p>
        </w:tc>
        <w:tc>
          <w:tcPr>
            <w:tcW w:type="dxa" w:w="5216"/>
          </w:tcPr>
          <w:p>
            <w:pPr>
              <w:spacing w:after="100" w:before="60"/>
            </w:pPr>
            <w:r>
              <w:t>____________________________</w:t>
            </w:r>
          </w:p>
        </w:tc>
      </w:tr>
      <w:tr>
        <w:trPr>
          <w:cantSplit/>
        </w:trPr>
        <w:tc>
          <w:tcPr>
            <w:tcW w:type="dxa" w:w="3855"/>
          </w:tcPr>
          <w:p>
            <w:pPr>
              <w:spacing w:after="100" w:before="60"/>
            </w:pPr>
            <w:r>
              <w:t>Later reply or changed choice</w:t>
            </w:r>
          </w:p>
        </w:tc>
        <w:tc>
          <w:tcPr>
            <w:tcW w:type="dxa" w:w="5216"/>
          </w:tcPr>
          <w:p>
            <w:pPr>
              <w:spacing w:after="100" w:before="60"/>
            </w:pPr>
            <w:r>
              <w:t>____________________________</w:t>
            </w:r>
          </w:p>
        </w:tc>
      </w:tr>
      <w:tr>
        <w:trPr>
          <w:cantSplit/>
        </w:trPr>
        <w:tc>
          <w:tcPr>
            <w:tcW w:type="dxa" w:w="3855"/>
          </w:tcPr>
          <w:p>
            <w:pPr>
              <w:spacing w:after="100" w:before="60"/>
            </w:pPr>
            <w:r>
              <w:t>Help given after feedback</w:t>
            </w:r>
          </w:p>
        </w:tc>
        <w:tc>
          <w:tcPr>
            <w:tcW w:type="dxa" w:w="5216"/>
          </w:tcPr>
          <w:p>
            <w:pPr>
              <w:spacing w:after="100" w:before="60"/>
            </w:pPr>
            <w:r>
              <w:t>____________________________</w:t>
            </w:r>
          </w:p>
        </w:tc>
      </w:tr>
      <w:tr>
        <w:trPr>
          <w:cantSplit/>
        </w:trPr>
        <w:tc>
          <w:tcPr>
            <w:tcW w:type="dxa" w:w="3855"/>
          </w:tcPr>
          <w:p>
            <w:pPr>
              <w:spacing w:after="100" w:before="60"/>
            </w:pPr>
            <w:r>
              <w:t>Next step, help and review date</w:t>
            </w:r>
          </w:p>
        </w:tc>
        <w:tc>
          <w:tcPr>
            <w:tcW w:type="dxa" w:w="5216"/>
          </w:tcPr>
          <w:p>
            <w:pPr>
              <w:spacing w:after="100" w:before="60"/>
            </w:pPr>
            <w:r>
              <w:t>____________________________</w:t>
            </w:r>
          </w:p>
        </w:tc>
      </w:tr>
    </w:tbl>
    <w:p>
      <w:r>
        <w:t>A corrected reply after feedback does not replace the initial record or become independent first performance. Retain both. If time or support prevents an individual response, record the gap and arrange a dated check.</w:t>
      </w:r>
    </w:p>
    <w:p>
      <w:r>
        <w:t>Use VF · WS · I · NS+ (Yellow Box) · // self-edit · ? read back · R responded · E evidence. R requires Voice, Audience, a specific NS+ prompt and the learner response in their own colour. E is recorded only when actual work is banked. Keep the initial record unchanged; record feedback and the later response separately.</w:t>
      </w:r>
    </w:p>
    <w:p>
      <w:r>
        <w:t>Work storage code ______  Banked / part / not yet ______</w:t>
        <w:br/>
        <w:t>Unfinished evidence ______  Next check date ______</w:t>
      </w:r>
    </w:p>
    <w:p>
      <w:r>
        <w:t>This helps me show how I can respect others, protect my boundaries and ask for support.</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RSHE-BUILD-A2-W07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boundaries and help: assessing lesson</dc:title>
  <dc:subject>RSHE-BUILD-A2-W07 · Year A</dc:subject>
  <dc:creator>Lesson resource</dc:creator>
  <cp:keywords/>
  <dc:description/>
  <cp:lastModifiedBy>Lesson resource</cp:lastModifiedBy>
  <cp:revision>1</cp:revision>
  <dcterms:created xsi:type="dcterms:W3CDTF">2013-12-23T23:15:00Z</dcterms:created>
  <dcterms:modified xsi:type="dcterms:W3CDTF">2013-12-23T23:15:00Z</dcterms:modified>
  <cp:category/>
</cp:coreProperties>
</file>