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Staff answers and observation</w:t>
      </w:r>
    </w:p>
    <w:p>
      <w:pPr>
        <w:pStyle w:val="Heading1"/>
      </w:pPr>
      <w:r>
        <w:t>Wash up and clean up</w:t>
      </w:r>
    </w:p>
    <w:p>
      <w:r>
        <w:t>These are guides for teaching, not prefilled learner evidence. Use a separate adult model. Accept a suitable alternative with a reason. Record access help and content prompts.</w:t>
      </w:r>
    </w:p>
    <w:p>
      <w:pPr>
        <w:pStyle w:val="Heading2"/>
      </w:pPr>
      <w:r>
        <w:t>Model and task key</w:t>
      </w:r>
    </w:p>
    <w:p>
      <w:r>
        <w:t>The water task is done. I clear the tray. An adult checks the water and adds the soap. I wash each side of the cup. I rinse it with clean water. I put it on the rack to drain and dry. I use a fresh cloth to clean the work space.</w:t>
      </w:r>
    </w:p>
    <w:tbl>
      <w:tblPr>
        <w:tblStyle w:val="TableGrid"/>
        <w:tblW w:type="auto" w:w="0"/>
        <w:tblLayout w:type="fixed"/>
        <w:tblLook w:firstColumn="1" w:firstRow="1" w:lastColumn="0" w:lastRow="0" w:noHBand="0" w:noVBand="1" w:val="04A0"/>
      </w:tblPr>
      <w:tblGrid>
        <w:gridCol w:w="1814"/>
        <w:gridCol w:w="7257"/>
      </w:tblGrid>
      <w:tr>
        <w:trPr>
          <w:cantSplit/>
        </w:trPr>
        <w:tc>
          <w:tcPr>
            <w:tcW w:type="dxa" w:w="1814"/>
            <w:shd w:fill="E4F0EF"/>
          </w:tcPr>
          <w:p>
            <w:pPr>
              <w:spacing w:after="100" w:before="60"/>
            </w:pPr>
            <w:r>
              <w:rPr>
                <w:b/>
              </w:rPr>
              <w:t>Step</w:t>
            </w:r>
          </w:p>
        </w:tc>
        <w:tc>
          <w:tcPr>
            <w:tcW w:type="dxa" w:w="7257"/>
            <w:shd w:fill="E4F0EF"/>
          </w:tcPr>
          <w:p>
            <w:pPr>
              <w:spacing w:after="100" w:before="60"/>
            </w:pPr>
            <w:r>
              <w:rPr>
                <w:b/>
              </w:rPr>
              <w:t>Look for</w:t>
            </w:r>
          </w:p>
        </w:tc>
      </w:tr>
      <w:tr>
        <w:trPr>
          <w:cantSplit/>
        </w:trPr>
        <w:tc>
          <w:tcPr>
            <w:tcW w:type="dxa" w:w="1814"/>
          </w:tcPr>
          <w:p>
            <w:pPr>
              <w:spacing w:after="100" w:before="60"/>
            </w:pPr>
            <w:r>
              <w:t>Clear</w:t>
            </w:r>
          </w:p>
        </w:tc>
        <w:tc>
          <w:tcPr>
            <w:tcW w:type="dxa" w:w="7257"/>
          </w:tcPr>
          <w:p>
            <w:pPr>
              <w:spacing w:after="100" w:before="60"/>
            </w:pPr>
            <w:r>
              <w:t>Used items moved safely; learner asks where to empty clean task water.</w:t>
            </w:r>
          </w:p>
        </w:tc>
      </w:tr>
      <w:tr>
        <w:trPr>
          <w:cantSplit/>
        </w:trPr>
        <w:tc>
          <w:tcPr>
            <w:tcW w:type="dxa" w:w="1814"/>
          </w:tcPr>
          <w:p>
            <w:pPr>
              <w:spacing w:after="100" w:before="60"/>
            </w:pPr>
            <w:r>
              <w:t>Wash</w:t>
            </w:r>
          </w:p>
        </w:tc>
        <w:tc>
          <w:tcPr>
            <w:tcW w:type="dxa" w:w="7257"/>
          </w:tcPr>
          <w:p>
            <w:pPr>
              <w:spacing w:after="100" w:before="60"/>
            </w:pPr>
            <w:r>
              <w:t>All surfaces of an item washed with the prepared solution; actual learner action recorded.</w:t>
            </w:r>
          </w:p>
        </w:tc>
      </w:tr>
      <w:tr>
        <w:trPr>
          <w:cantSplit/>
        </w:trPr>
        <w:tc>
          <w:tcPr>
            <w:tcW w:type="dxa" w:w="1814"/>
          </w:tcPr>
          <w:p>
            <w:pPr>
              <w:spacing w:after="100" w:before="60"/>
            </w:pPr>
            <w:r>
              <w:t>Rinse and drain</w:t>
            </w:r>
          </w:p>
        </w:tc>
        <w:tc>
          <w:tcPr>
            <w:tcW w:type="dxa" w:w="7257"/>
          </w:tcPr>
          <w:p>
            <w:pPr>
              <w:spacing w:after="100" w:before="60"/>
            </w:pPr>
            <w:r>
              <w:t>Soap rinsed off in fresh water; item left safely on rack. Adult changes water as needed.</w:t>
            </w:r>
          </w:p>
        </w:tc>
      </w:tr>
      <w:tr>
        <w:trPr>
          <w:cantSplit/>
        </w:trPr>
        <w:tc>
          <w:tcPr>
            <w:tcW w:type="dxa" w:w="1814"/>
          </w:tcPr>
          <w:p>
            <w:pPr>
              <w:spacing w:after="100" w:before="60"/>
            </w:pPr>
            <w:r>
              <w:t>Clean space</w:t>
            </w:r>
          </w:p>
        </w:tc>
        <w:tc>
          <w:tcPr>
            <w:tcW w:type="dxa" w:w="7257"/>
          </w:tcPr>
          <w:p>
            <w:pPr>
              <w:spacing w:after="100" w:before="60"/>
            </w:pPr>
            <w:r>
              <w:t>Separate clean surface cloth used; surface wiped. Staff finish any required disinfection separately.</w:t>
            </w:r>
          </w:p>
        </w:tc>
      </w:tr>
      <w:tr>
        <w:trPr>
          <w:cantSplit/>
        </w:trPr>
        <w:tc>
          <w:tcPr>
            <w:tcW w:type="dxa" w:w="1814"/>
          </w:tcPr>
          <w:p>
            <w:pPr>
              <w:spacing w:after="100" w:before="60"/>
            </w:pPr>
            <w:r>
              <w:t>Check and hands</w:t>
            </w:r>
          </w:p>
        </w:tc>
        <w:tc>
          <w:tcPr>
            <w:tcW w:type="dxa" w:w="7257"/>
          </w:tcPr>
          <w:p>
            <w:pPr>
              <w:spacing w:after="100" w:before="60"/>
            </w:pPr>
            <w:r>
              <w:t>Learner checks the space, communicates a concern or help request, then washes and dries hands.</w:t>
            </w:r>
          </w:p>
        </w:tc>
      </w:tr>
      <w:tr>
        <w:trPr>
          <w:cantSplit/>
        </w:trPr>
        <w:tc>
          <w:tcPr>
            <w:tcW w:type="dxa" w:w="1814"/>
          </w:tcPr>
          <w:p>
            <w:pPr>
              <w:spacing w:after="100" w:before="60"/>
            </w:pPr>
            <w:r>
              <w:t>Storage</w:t>
            </w:r>
          </w:p>
        </w:tc>
        <w:tc>
          <w:tcPr>
            <w:tcW w:type="dxa" w:w="7257"/>
          </w:tcPr>
          <w:p>
            <w:pPr>
              <w:spacing w:after="100" w:before="60"/>
            </w:pPr>
            <w:r>
              <w:t>Wet items remain on rack. Staff arrange later storage once dry. Do not mark later storage as learner evidence unless observed.</w:t>
            </w:r>
          </w:p>
        </w:tc>
      </w:tr>
    </w:tbl>
    <w:p>
      <w:pPr>
        <w:pStyle w:val="Heading2"/>
      </w:pPr>
      <w:r>
        <w:t>Hinge and reteach</w:t>
      </w:r>
    </w:p>
    <w:p>
      <w:r>
        <w:t>Show a clean but wet cup and a dry storage space. Ask: “Put it away now, or let it dry first?” Expected: let it drain and air-dry, then check it is dry before storage. If unsure, model the safe position on the rack and recheck with a wet spoon. The adult manages any remaining drying and later storage.</w:t>
      </w:r>
    </w:p>
    <w:p>
      <w:pPr>
        <w:pStyle w:val="Heading2"/>
      </w:pPr>
      <w:r>
        <w:t>Common errors</w:t>
      </w:r>
    </w:p>
    <w:p>
      <w:r>
        <w:t>A quick rinse is not the same as washing. A wet item is not ready for storage. Dish and surface cloths are separate. Looking clean does not prove disinfection. Adult completion, peer performance and dry rehearsal must not be logged as the learner’s washing skill.</w:t>
      </w:r>
    </w:p>
    <w:p>
      <w:r>
        <w:br w:type="page"/>
      </w:r>
    </w:p>
    <w:p>
      <w:pPr>
        <w:pStyle w:val="Title"/>
      </w:pPr>
      <w:r>
        <w:t>Practical protocol and evidence</w:t>
      </w:r>
    </w:p>
    <w:p>
      <w:pPr>
        <w:pStyle w:val="Heading2"/>
      </w:pPr>
      <w:r>
        <w:t>Before and during the lesson</w:t>
      </w:r>
    </w:p>
    <w:p>
      <w:r>
        <w:t>Prepare an accessible supervised station: stable tray, unbreakable cup and spoon, a small amount of clean water, wash area, fresh rinse water, draining rack, separate clean cloths for dishes and surfaces, and handwashing access. Staff check the water temperature, prepare approved detergent to its instructions and keep containers out of reach. Prepare one set per learner and a separate model set; allow one supervised washing turn at a time.</w:t>
      </w:r>
    </w:p>
    <w:p>
      <w:r>
        <w:t>Staff complete the setting’s practical risk check and adapt equipment and access before teaching. Use only unbreakable items from a clean-water transfer task; no raw food, blades, glass, heat or electrical equipment. Adults prepare and handle cleaning products, check safe water temperature, change dirty water and manage spills promptly. Learners never mix or dose products. Use separate dish and surface cloths. Detergent cleaning is not disinfection; staff complete any required disinfection separately under the setting’s procedure. Keep chemicals secure. If the task is unsafe, stop and seek help. A dry rehearsal is an access alternative, not evidence of completed washing.</w:t>
      </w:r>
    </w:p>
    <w:p>
      <w:r>
        <w:t>With stable trays, each learner moves a little clean water from cup to tray using an unbreakable spoon for about one minute. No drinking, food, dyes or sensory additives. Stop spills promptly. The resulting used items and wet space give the clean-up task a real purpose.</w:t>
      </w:r>
    </w:p>
    <w:p>
      <w:r>
        <w:t>Allow a supervised turn for each learner to wash one item, rinse and drain it, then clean their own work space with the separate cloth. Staff control water, detergent and spills throughout. Record individual steps while observing. For a small group, allow about three minutes per turn; prepare extra supervised stations or record unfinished turns if group size or needs require more time. Do not imply that watching a peer proves a skill.</w:t>
      </w:r>
    </w:p>
    <w:p>
      <w:r>
        <w:t>Give one specific prompt and allow a brief safe retry. Record first performance and retry separately. Leave wet items on the rack. Staff arrange later storage once dry and complete residual cleaning; do not rush drying to claim completion. End with handwashing and drying after any further cleaning.</w:t>
      </w:r>
    </w:p>
    <w:p>
      <w:pPr>
        <w:pStyle w:val="Heading2"/>
      </w:pPr>
      <w:r>
        <w:t>Evidence decisions</w:t>
      </w:r>
    </w:p>
    <w:p>
      <w:r>
        <w:t>A dated observation of each learner washing an item and cleaning a work area after a water-transfer activity, recording actions, prompts, safety support, unfinished steps and a next step.</w:t>
      </w:r>
    </w:p>
    <w:p>
      <w:r>
        <w:t>Record what was observed, response mode, prompts, adult actions and gaps. Suggested statuses: observed with stated help; partial; not yet observed. Do not award a total, infer a qualification result or turn a blank sheet into evidence.</w:t>
      </w:r>
    </w:p>
    <w:p>
      <w:r>
        <w:t>After one specific prompt, record a changed plan or practical retry separately. Keep the first attempt unchanged. The learner’s explanation may be spoken, pointed, drawn, written or given with an aid.</w:t>
      </w:r>
    </w:p>
    <w:p>
      <w:pPr>
        <w:pStyle w:val="Heading2"/>
      </w:pPr>
      <w:r>
        <w:t>Feedback and next step</w:t>
      </w:r>
    </w:p>
    <w:p>
      <w:r>
        <w:t>Use VF · WS · I · NS+ (Yellow Box) · // self-edit · ? read back · R responded · E evidence. R requires Voice, Audience, a specific NS+ prompt and the learner response in their own colour. E is used only when actual work is banked. Keep the first try and any later change separate.</w:t>
      </w:r>
    </w:p>
    <w:p>
      <w:r>
        <w:t>Theme: Identity &amp; Belonging. This helps me care for kit and leave a shared space ready.</w:t>
      </w:r>
    </w:p>
    <w:p>
      <w:r>
        <w:t>Weeks 1–6 are formative. Week 7 gathers and reviews the half-term evidence.</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VOCATIONAL-BUILD-A2-W02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183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183E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Lesson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Lesson resource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Wash up and clean up</dc:title>
  <dc:subject>VOCATIONAL-BUILD-A2-W02 · Year A</dc:subject>
  <dc:creator>Lesson resource</dc:creator>
  <cp:keywords>Year A · Careers</cp:keywords>
  <dc:description/>
  <cp:lastModifiedBy>Lesson resource</cp:lastModifiedBy>
  <cp:revision>1</cp:revision>
  <dcterms:created xsi:type="dcterms:W3CDTF">2013-12-23T23:15:00Z</dcterms:created>
  <dcterms:modified xsi:type="dcterms:W3CDTF">2013-12-23T23:15:00Z</dcterms:modified>
  <cp:category/>
</cp:coreProperties>
</file>