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answers and observation</w:t>
      </w:r>
    </w:p>
    <w:p>
      <w:pPr>
        <w:pStyle w:val="Heading1"/>
      </w:pPr>
      <w:r>
        <w:t>Follow a two-step recipe</w:t>
      </w:r>
    </w:p>
    <w:p>
      <w:r>
        <w:t>These are teaching guides, not prefilled learner evidence. Use a separate adult model. Record actual responses, actions and support.</w:t>
      </w:r>
    </w:p>
    <w:p>
      <w:pPr>
        <w:pStyle w:val="Heading2"/>
      </w:pPr>
      <w:r>
        <w:t>Model and task key</w:t>
      </w:r>
    </w:p>
    <w:p>
      <w:r>
        <w:t>The adult has checked my food and kit. My hands and work space are clean. I read step 1 and find pot 1. I put the fruit into the bowl. I add pot 2 and stir gently for step 2. I check both steps and ask for help if needed.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cantSplit/>
        </w:trPr>
        <w:tc>
          <w:tcPr>
            <w:tcW w:type="dxa" w:w="1814"/>
            <w:shd w:fill="E4F0EF"/>
          </w:tcPr>
          <w:p>
            <w:pPr>
              <w:spacing w:after="100" w:before="60"/>
            </w:pPr>
            <w:r>
              <w:rPr>
                <w:b/>
              </w:rPr>
              <w:t>Part</w:t>
            </w:r>
          </w:p>
        </w:tc>
        <w:tc>
          <w:tcPr>
            <w:tcW w:type="dxa" w:w="72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Teaching guide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Set-up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Staff prepare each learner’s two pots. For this small teaching sample, pot 1 can hold two teaspoons of ready-prepared soft fruit and pot 2 two teaspoons of plain yoghurt. These are task quantities, not dietary portion advice. Adjust texture, ingredient and amount to the checked individual plan.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Step 1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Put the fruit from pot 1 into the bowl. Observe the learner moving the fruit, with support recorded.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Step 2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Add the yoghurt from pot 2. Stir gently. Record adding and stirring; if only one action is seen, retain the other as a gap.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Sequence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Recipe step 1 precedes recipe step 2. Hygiene, set-up and clearing away are surrounding routines; the recipe still has two numbered steps.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100" w:before="60"/>
            </w:pPr>
            <w:r>
              <w:t>Support</w:t>
            </w:r>
          </w:p>
        </w:tc>
        <w:tc>
          <w:tcPr>
            <w:tcW w:type="dxa" w:w="7257"/>
          </w:tcPr>
          <w:p>
            <w:pPr>
              <w:spacing w:after="100" w:before="60"/>
            </w:pPr>
            <w:r>
              <w:t>The objective explicitly permits support. Record the level and type; do not label an adult-completed action as the learner’s performance.</w:t>
            </w:r>
          </w:p>
        </w:tc>
      </w:tr>
    </w:tbl>
    <w:p>
      <w:pPr>
        <w:pStyle w:val="Heading2"/>
      </w:pPr>
      <w:r>
        <w:t>Hinge and reteach</w:t>
      </w:r>
    </w:p>
    <w:p>
      <w:r>
        <w:t>On the separate adult set, show fruit in the bowl and pot 2 still full. Ask: “Do step 1 again, or use pot 2 for step 2?” Expected: add pot 2 and stir gently. If unsure, point to the step number, ask a short question, rephrase, offer a choice, then model only the first needed action. Recheck on the adult set and record support during the learner’s own turn.</w:t>
      </w:r>
    </w:p>
    <w:p>
      <w:pPr>
        <w:pStyle w:val="Heading2"/>
      </w:pPr>
      <w:r>
        <w:t>Common errors</w:t>
      </w:r>
    </w:p>
    <w:p>
      <w:r>
        <w:t>Two pots do not mean two portions to eat: they are ingredients for a small task. Numbered cards support sequence; reading the card is not evidence that the action was completed. A finished bowl made by an adult is not the learner’s performance. Dry rehearsal is recorded separately.</w:t>
      </w:r>
    </w:p>
    <w:p>
      <w:r>
        <w:br w:type="page"/>
      </w:r>
    </w:p>
    <w:p>
      <w:pPr>
        <w:pStyle w:val="Title"/>
      </w:pPr>
      <w:r>
        <w:t>Teaching protocol and evidence</w:t>
      </w:r>
    </w:p>
    <w:p>
      <w:pPr>
        <w:pStyle w:val="Heading2"/>
      </w:pPr>
      <w:r>
        <w:t>Before and during the lesson</w:t>
      </w:r>
    </w:p>
    <w:p>
      <w:r>
        <w:t>Print the two Evidence Sheet and two Support Cards pages and a Vocabulary Mat. Prepare a separate adult model and one checked set per learner: stable tray, unbreakable bowl, spoon and two numbered pots. Pot 1 holds a small amount of ready-prepared soft fruit; pot 2 holds plain yoghurt. Staff choose portions, texture and any safe substitute in advance. Arrange handwashing, chilled storage and supervised turns.</w:t>
      </w:r>
    </w:p>
    <w:p>
      <w:r>
        <w:t>Before bringing food into the room, staff check individual allergy, dietary, texture and swallowing needs privately, ingredient labels, use-by dates, storage and cross-contact controls. Plain yoghurt contains milk; alternatives also need checking. Staff wash and prepare fruit, portion ingredients, clean equipment and arrange a safe work surface. Keep chilled food refrigerated until use and follow storage instructions. No heat, blades, glass or raw animal foods. Learners use only their own checked pots and kit; no sharing or tasting is required. Staff manage spills, products, food storage or disposal and the setting’s emergency procedures. If food work cannot be made safe, use a dry rehearsal and record practical work as not yet observed.</w:t>
      </w:r>
    </w:p>
    <w:p>
      <w:r>
        <w:t>Staff retain ingredient information privately and confirm the setting’s allergy and emergency arrangements. Do not assume a substitute is safe because of a general food label. Avoid cross-contact through hands, shared spoons, containers or surfaces. No toppings or extra ingredients are added. Learners need not disclose health details to the group.</w:t>
      </w:r>
    </w:p>
    <w:p>
      <w:r>
        <w:t>Adult-approved substitutions retain the same two actions: transfer a prepared ingredient, then add the second and stir. Record the actual foods and altered wording; a completed adapted recipe is evidence of that stated task. If safe food work is unavailable, use cards and empty pots, mark it as rehearsal and arrange a later practical opportunity.</w:t>
      </w:r>
    </w:p>
    <w:p>
      <w:r>
        <w:t>Use Support Cards page 1. A small group can have one supervised turn of about three minutes per learner; prepare extra supervised stations or record unfinished turns if more time is needed. Read and point as needed. Capture actual learner action, sequence and exact support during the task; an adult doing a step is not the learner doing it.</w:t>
      </w:r>
    </w:p>
    <w:p>
      <w:pPr>
        <w:pStyle w:val="Heading2"/>
      </w:pPr>
      <w:r>
        <w:t>Evidence decisions</w:t>
      </w:r>
    </w:p>
    <w:p>
      <w:r>
        <w:t>A dated individual observation of the two recipe steps, their order, actual support and any unfinished action; the learner gives a check or help request and a next step.</w:t>
      </w:r>
    </w:p>
    <w:p>
      <w:r>
        <w:t>Record observed with stated help, partial or not yet observed. Record any recipe action not completed as a gap. Keep first work, prompts and later responses separate. No total score or qualification result is inferred.</w:t>
      </w:r>
    </w:p>
    <w:p>
      <w:pPr>
        <w:pStyle w:val="Heading2"/>
      </w:pPr>
      <w:r>
        <w:t>Feedback and next step</w:t>
      </w:r>
    </w:p>
    <w:p>
      <w:r>
        <w:t>Use VF · WS · I · NS+ (Yellow Box) · // self-edit · ? read back · R responded · E evidence. R requires Voice, Audience, a specific NS+ prompt and the learner response in their own colour. E is used only when actual work is banked. Keep the first try and any later change separate.</w:t>
      </w:r>
    </w:p>
    <w:p>
      <w:r>
        <w:t>Theme: Identity &amp; Belonging. This helps me follow a task in order and ask for help.</w:t>
      </w:r>
    </w:p>
    <w:p>
      <w:r>
        <w:t>Weeks 1–6 are formative. Week 7 gathers and reviews the half-term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a two-step recipe</dc:title>
  <dc:subject>VOCATIONAL-BUILD-A2-W03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