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pPr>
        <w:pStyle w:val="Heading1"/>
      </w:pPr>
      <w:r>
        <w:t>Jobs people do</w:t>
      </w:r>
    </w:p>
    <w:p>
      <w:r>
        <w:t>Any qualification or accredited-unit mapping requires staff confirmation from actual evidence. No completion is inferred.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313"/>
      </w:tblGrid>
      <w:tr>
        <w:trPr>
          <w:cantSplit/>
        </w:trPr>
        <w:tc>
          <w:tcPr>
            <w:tcW w:type="dxa" w:w="1757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Field</w:t>
            </w:r>
          </w:p>
        </w:tc>
        <w:tc>
          <w:tcPr>
            <w:tcW w:type="dxa" w:w="7313"/>
            <w:shd w:fill="E4F0EF"/>
          </w:tcPr>
          <w:p>
            <w:pPr>
              <w:spacing w:after="100" w:before="60"/>
            </w:pPr>
            <w:r>
              <w:rPr>
                <w:b/>
              </w:rPr>
              <w:t>Plan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Pathway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· Independence / vocational · Year A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Theme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Identity &amp; Belonging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Week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Autumn 2 Week 4 · 23–27 November 2026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Taught slot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Friday 27 November 2026 · 40 minutes; clock time not supplied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Objective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Recognise jobs people do (links Careers).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Source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BUILD Weekly - Autumn, C140; owner-confirmed strand and Friday slot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Unit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Recognising jobs from their tasks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Threads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Thread tags: SMSC S/So (M/C: none); British Values IL/MR (D/RL/T: none).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Activity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Match four fictional task cards to cook, cleaner, gardener and packer, using the action described as the clue. Choose one job, link it to a familiar daily task, and keep an individual response and a change after feedback.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Evidence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VOCATIONAL-BUILD-A2-W04-E1: An individual record of job-to-task matches, a stated or pointed task clue and one link to a familiar daily skill; actual response mode, prompts, gaps and a later response are recorded.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Careers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This helps me link a job to a task and value each role.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Access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Point, speech, drawing, writing or aid. Record exact prompts, reduced choices, adult actions and gaps.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100" w:before="60"/>
            </w:pPr>
            <w:r>
              <w:t>Assessment</w:t>
            </w:r>
          </w:p>
        </w:tc>
        <w:tc>
          <w:tcPr>
            <w:tcW w:type="dxa" w:w="7313"/>
          </w:tcPr>
          <w:p>
            <w:pPr>
              <w:spacing w:after="100" w:before="60"/>
            </w:pPr>
            <w:r>
              <w:t>Formative. Weeks 1–6 formative; Week 7 assessing. Keep first work and later response separate.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VOCATIONAL-BUILD-A2-W04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people do</dc:title>
  <dc:subject>VOCATIONAL-BUILD-A2-W04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