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answers and observation</w:t>
      </w:r>
    </w:p>
    <w:p>
      <w:pPr>
        <w:pStyle w:val="Heading1"/>
      </w:pPr>
      <w:r>
        <w:t>Jobs people do</w:t>
      </w:r>
    </w:p>
    <w:p>
      <w:r>
        <w:t>These are teaching guides, not prefilled learner evidence. Use a separate adult model. Record actual responses, actions and support.</w:t>
      </w:r>
    </w:p>
    <w:p>
      <w:pPr>
        <w:pStyle w:val="Heading2"/>
      </w:pPr>
      <w:r>
        <w:t>Model and task key</w:t>
      </w:r>
    </w:p>
    <w:p>
      <w:r>
        <w:t>This is a made-up worker. The worker gets soup ready for a meal. The job could be cook. The clue is making food for a meal. A bowl and spoon could help with that task. I use the task clue, not how the person looks.</w:t>
      </w:r>
    </w:p>
    <w:tbl>
      <w:tblPr>
        <w:tblStyle w:val="TableGrid"/>
        <w:tblW w:type="auto" w:w="0"/>
        <w:tblLayout w:type="fixed"/>
        <w:tblLook w:firstColumn="1" w:firstRow="1" w:lastColumn="0" w:lastRow="0" w:noHBand="0" w:noVBand="1" w:val="04A0"/>
      </w:tblPr>
      <w:tblGrid>
        <w:gridCol w:w="850"/>
        <w:gridCol w:w="1701"/>
        <w:gridCol w:w="6520"/>
      </w:tblGrid>
      <w:tr>
        <w:trPr>
          <w:cantSplit/>
        </w:trPr>
        <w:tc>
          <w:tcPr>
            <w:tcW w:type="dxa" w:w="850"/>
            <w:shd w:fill="E4F0EF"/>
          </w:tcPr>
          <w:p>
            <w:pPr>
              <w:spacing w:after="100" w:before="60"/>
            </w:pPr>
            <w:r>
              <w:rPr>
                <w:b/>
              </w:rPr>
              <w:t>Card</w:t>
            </w:r>
          </w:p>
        </w:tc>
        <w:tc>
          <w:tcPr>
            <w:tcW w:type="dxa" w:w="1701"/>
            <w:shd w:fill="E4F0EF"/>
          </w:tcPr>
          <w:p>
            <w:pPr>
              <w:spacing w:after="100" w:before="60"/>
            </w:pPr>
            <w:r>
              <w:rPr>
                <w:b/>
              </w:rPr>
              <w:t>Expected job</w:t>
            </w:r>
          </w:p>
        </w:tc>
        <w:tc>
          <w:tcPr>
            <w:tcW w:type="dxa" w:w="6520"/>
            <w:shd w:fill="E4F0EF"/>
          </w:tcPr>
          <w:p>
            <w:pPr>
              <w:spacing w:after="100" w:before="60"/>
            </w:pPr>
            <w:r>
              <w:rPr>
                <w:b/>
              </w:rPr>
              <w:t>Task clue</w:t>
            </w:r>
          </w:p>
        </w:tc>
      </w:tr>
      <w:tr>
        <w:trPr>
          <w:cantSplit/>
        </w:trPr>
        <w:tc>
          <w:tcPr>
            <w:tcW w:type="dxa" w:w="850"/>
          </w:tcPr>
          <w:p>
            <w:pPr>
              <w:spacing w:after="100" w:before="60"/>
            </w:pPr>
            <w:r>
              <w:t>A</w:t>
            </w:r>
          </w:p>
        </w:tc>
        <w:tc>
          <w:tcPr>
            <w:tcW w:type="dxa" w:w="1701"/>
          </w:tcPr>
          <w:p>
            <w:pPr>
              <w:spacing w:after="100" w:before="60"/>
            </w:pPr>
            <w:r>
              <w:t>cook</w:t>
            </w:r>
          </w:p>
        </w:tc>
        <w:tc>
          <w:tcPr>
            <w:tcW w:type="dxa" w:w="6520"/>
          </w:tcPr>
          <w:p>
            <w:pPr>
              <w:spacing w:after="100" w:before="60"/>
            </w:pPr>
            <w:r>
              <w:t>follows a recipe to make a meal</w:t>
            </w:r>
          </w:p>
        </w:tc>
      </w:tr>
      <w:tr>
        <w:trPr>
          <w:cantSplit/>
        </w:trPr>
        <w:tc>
          <w:tcPr>
            <w:tcW w:type="dxa" w:w="850"/>
          </w:tcPr>
          <w:p>
            <w:pPr>
              <w:spacing w:after="100" w:before="60"/>
            </w:pPr>
            <w:r>
              <w:t>B</w:t>
            </w:r>
          </w:p>
        </w:tc>
        <w:tc>
          <w:tcPr>
            <w:tcW w:type="dxa" w:w="1701"/>
          </w:tcPr>
          <w:p>
            <w:pPr>
              <w:spacing w:after="100" w:before="60"/>
            </w:pPr>
            <w:r>
              <w:t>cleaner</w:t>
            </w:r>
          </w:p>
        </w:tc>
        <w:tc>
          <w:tcPr>
            <w:tcW w:type="dxa" w:w="6520"/>
          </w:tcPr>
          <w:p>
            <w:pPr>
              <w:spacing w:after="100" w:before="60"/>
            </w:pPr>
            <w:r>
              <w:t>wipes tables and cleans floors</w:t>
            </w:r>
          </w:p>
        </w:tc>
      </w:tr>
      <w:tr>
        <w:trPr>
          <w:cantSplit/>
        </w:trPr>
        <w:tc>
          <w:tcPr>
            <w:tcW w:type="dxa" w:w="850"/>
          </w:tcPr>
          <w:p>
            <w:pPr>
              <w:spacing w:after="100" w:before="60"/>
            </w:pPr>
            <w:r>
              <w:t>C</w:t>
            </w:r>
          </w:p>
        </w:tc>
        <w:tc>
          <w:tcPr>
            <w:tcW w:type="dxa" w:w="1701"/>
          </w:tcPr>
          <w:p>
            <w:pPr>
              <w:spacing w:after="100" w:before="60"/>
            </w:pPr>
            <w:r>
              <w:t>gardener</w:t>
            </w:r>
          </w:p>
        </w:tc>
        <w:tc>
          <w:tcPr>
            <w:tcW w:type="dxa" w:w="6520"/>
          </w:tcPr>
          <w:p>
            <w:pPr>
              <w:spacing w:after="100" w:before="60"/>
            </w:pPr>
            <w:r>
              <w:t>puts plants in soil and waters them</w:t>
            </w:r>
          </w:p>
        </w:tc>
      </w:tr>
      <w:tr>
        <w:trPr>
          <w:cantSplit/>
        </w:trPr>
        <w:tc>
          <w:tcPr>
            <w:tcW w:type="dxa" w:w="850"/>
          </w:tcPr>
          <w:p>
            <w:pPr>
              <w:spacing w:after="100" w:before="60"/>
            </w:pPr>
            <w:r>
              <w:t>D</w:t>
            </w:r>
          </w:p>
        </w:tc>
        <w:tc>
          <w:tcPr>
            <w:tcW w:type="dxa" w:w="1701"/>
          </w:tcPr>
          <w:p>
            <w:pPr>
              <w:spacing w:after="100" w:before="60"/>
            </w:pPr>
            <w:r>
              <w:t>packer</w:t>
            </w:r>
          </w:p>
        </w:tc>
        <w:tc>
          <w:tcPr>
            <w:tcW w:type="dxa" w:w="6520"/>
          </w:tcPr>
          <w:p>
            <w:pPr>
              <w:spacing w:after="100" w:before="60"/>
            </w:pPr>
            <w:r>
              <w:t>puts items in a box and adds a label</w:t>
            </w:r>
          </w:p>
        </w:tc>
      </w:tr>
    </w:tbl>
    <w:p>
      <w:r>
        <w:t>Kit links: cook—bowl and spoon; cleaner—cloth and mop; gardener—plant pot and watering can; packer—box and label. These are plausible examples, not exclusive rules.</w:t>
      </w:r>
    </w:p>
    <w:p>
      <w:r>
        <w:t>Daily-skill links: cook—follow steps; cleaner—keep a space clean; gardener—care for a plant; packer—sort and check. Accept a justified overlap, such as checking being useful in all four jobs.</w:t>
      </w:r>
    </w:p>
    <w:p>
      <w:pPr>
        <w:pStyle w:val="Heading2"/>
      </w:pPr>
      <w:r>
        <w:t>Hinge and reteach</w:t>
      </w:r>
    </w:p>
    <w:p>
      <w:r>
        <w:t>Read: “A worker puts plants in soil and waters them.” Offer gardener or packer. Expected: gardener, with the plant-care action as the clue. If unsure, point to the action, rephrase and offer a choice before modelling. Parallel recheck: “A worker checks items, boxes them and adds a label.” Expected: packer; record the clue and help.</w:t>
      </w:r>
    </w:p>
    <w:p>
      <w:pPr>
        <w:pStyle w:val="Heading2"/>
      </w:pPr>
      <w:r>
        <w:t>Common errors</w:t>
      </w:r>
    </w:p>
    <w:p>
      <w:r>
        <w:t>A tool or clothing alone does not prove a job. Use the stated action. Several jobs can include cleaning, checking or helping; accept an alternative with a relevant explanation. Do not rank jobs or infer ability, gender, background or job readiness from a match.</w:t>
      </w:r>
    </w:p>
    <w:p>
      <w:r>
        <w:br w:type="page"/>
      </w:r>
    </w:p>
    <w:p>
      <w:pPr>
        <w:pStyle w:val="Title"/>
      </w:pPr>
      <w:r>
        <w:t>Teaching protocol and evidence</w:t>
      </w:r>
    </w:p>
    <w:p>
      <w:pPr>
        <w:pStyle w:val="Heading2"/>
      </w:pPr>
      <w:r>
        <w:t>Before and during the lesson</w:t>
      </w:r>
    </w:p>
    <w:p>
      <w:r>
        <w:t>Print two Evidence Sheet and two Support Cards pages, a Vocabulary Mat and a separate adult model card. Cut job and kit cards in advance if useful. Use paper cards only; no food, cleaning products, tools, workplace visit or contact with an employer. Prepare an aid and space for individual responses.</w:t>
      </w:r>
    </w:p>
    <w:p>
      <w:r>
        <w:t>All workers and settings are fictional and unnamed. Use task clues, not appearance, clothing, gender, background or perceived status, to identify a role. A task can be shared by several jobs; accept a sensible alternative when the learner gives a relevant clue. Do not ask about family employment, income or personal aspirations. No real applications, contact details or workplace access are required. Respect a pause, private response or aid. A role match is knowledge evidence, not proof of practical competence or job readiness.</w:t>
      </w:r>
    </w:p>
    <w:p>
      <w:r>
        <w:t>Use Support Cards page 1 task stories A–D and page 2 shuffled job and kit cards. Ask for each learner’s own choice before confirming it. Supported route may check two cards first; record all unpresented cards as gaps. Allow speech, pointing, drawing, writing or an aid.</w:t>
      </w:r>
    </w:p>
    <w:p>
      <w:pPr>
        <w:pStyle w:val="Heading2"/>
      </w:pPr>
      <w:r>
        <w:t>Evidence decisions</w:t>
      </w:r>
    </w:p>
    <w:p>
      <w:r>
        <w:t>An individual record of job-to-task matches, a stated or pointed task clue and one link to a familiar daily skill; actual response mode, prompts, gaps and a later response are recorded.</w:t>
      </w:r>
    </w:p>
    <w:p>
      <w:r>
        <w:t>Record observed with stated help, partial or not yet observed. Record unpresented job cards as not checked. Keep first work, prompts and later responses separate. No total score or qualification result is inferred.</w:t>
      </w:r>
    </w:p>
    <w:p>
      <w:pPr>
        <w:pStyle w:val="Heading2"/>
      </w:pPr>
      <w:r>
        <w:t>Feedback and next step</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Theme: Identity &amp; Belonging. This helps me link a job to a task and value each role.</w:t>
      </w:r>
    </w:p>
    <w:p>
      <w:r>
        <w:t>Weeks 1–6 are formative. Week 7 gathers and reviews the half-term evidence.</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VOCATIONAL-BUILD-A2-W04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 people do</dc:title>
  <dc:subject>VOCATIONAL-BUILD-A2-W04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