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after="140"/>
      </w:pPr>
      <w:r>
        <w:rPr>
          <w:b w:val="0"/>
        </w:rPr>
        <w:t>Teacher and cover guide</w:t>
      </w:r>
    </w:p>
    <w:p>
      <w:pPr>
        <w:spacing w:after="140"/>
      </w:pPr>
      <w:r>
        <w:rPr>
          <w:b w:val="0"/>
          <w:sz w:val="20"/>
        </w:rPr>
        <w:t>Week 7 Lesson 1 • 14–18 December 2026 • 40 minutes</w:t>
      </w:r>
    </w:p>
    <w:p>
      <w:pPr>
        <w:pStyle w:val="Heading2"/>
        <w:spacing w:after="140"/>
      </w:pPr>
      <w:r>
        <w:rPr>
          <w:b w:val="0"/>
        </w:rPr>
        <w:t>Choose what you will share</w:t>
      </w:r>
    </w:p>
    <w:p>
      <w:pPr>
        <w:spacing w:after="140"/>
      </w:pPr>
      <w:r>
        <w:rPr>
          <w:b w:val="0"/>
          <w:sz w:val="20"/>
        </w:rPr>
        <w:t>[AWARD] [QUAL] route • Part D Share</w:t>
      </w:r>
    </w:p>
    <w:p>
      <w:pPr>
        <w:spacing w:after="140"/>
      </w:pPr>
      <w:r>
        <w:rPr>
          <w:b/>
          <w:sz w:val="24"/>
        </w:rPr>
        <w:t>I can choose what I enjoyed and what I learnt to do.</w:t>
      </w:r>
    </w:p>
    <w:p>
      <w:pPr>
        <w:spacing w:after="140"/>
      </w:pPr>
      <w:r>
        <w:rPr>
          <w:b w:val="0"/>
          <w:sz w:val="20"/>
        </w:rPr>
        <w:t>Part D preparation only. Look back at actual A–C records, select personal enjoyment and achievement, and plan communication for the owner’s December share. The real event date and audience remain for owner confirmation. No completed share is inferred.</w:t>
      </w:r>
    </w:p>
    <w:p>
      <w:pPr>
        <w:pStyle w:val="Heading2"/>
        <w:spacing w:after="140"/>
      </w:pPr>
      <w:r>
        <w:rPr>
          <w:b w:val="0"/>
        </w:rPr>
        <w:t>Timed flow</w:t>
      </w:r>
    </w:p>
    <w:tbl>
      <w:tblPr>
        <w:tblW w:type="auto" w:w="0"/>
        <w:jc w:val="center"/>
        <w:tblLayout w:type="fixed"/>
        <w:tblLook w:firstColumn="1" w:firstRow="1" w:lastColumn="0" w:lastRow="0" w:noHBand="0" w:noVBand="1" w:val="04A0"/>
      </w:tblPr>
      <w:tblGrid>
        <w:gridCol w:w="1020"/>
        <w:gridCol w:w="1474"/>
        <w:gridCol w:w="7483"/>
      </w:tblGrid>
      <w:tr>
        <w:tc>
          <w:tcPr>
            <w:tcW w:type="dxa" w:w="1020"/>
            <w:tcBorders>
              <w:top w:val="single" w:sz="4" w:color="D9D9D9"/>
              <w:left w:val="single" w:sz="4" w:color="D9D9D9"/>
              <w:bottom w:val="single" w:sz="4" w:color="D9D9D9"/>
              <w:right w:val="single" w:sz="4" w:color="D9D9D9"/>
            </w:tcBorders>
            <w:shd w:fill="527E98"/>
          </w:tcPr>
          <w:p>
            <w:pPr>
              <w:spacing w:after="80" w:before="80"/>
            </w:pPr>
            <w:r>
              <w:rPr>
                <w:b/>
                <w:color w:val="FFFFFF"/>
                <w:sz w:val="18"/>
              </w:rPr>
              <w:t>Minutes</w:t>
            </w:r>
          </w:p>
        </w:tc>
        <w:tc>
          <w:tcPr>
            <w:tcW w:type="dxa" w:w="1474"/>
            <w:tcBorders>
              <w:top w:val="single" w:sz="4" w:color="D9D9D9"/>
              <w:left w:val="single" w:sz="4" w:color="D9D9D9"/>
              <w:bottom w:val="single" w:sz="4" w:color="D9D9D9"/>
              <w:right w:val="single" w:sz="4" w:color="D9D9D9"/>
            </w:tcBorders>
            <w:shd w:fill="527E98"/>
          </w:tcPr>
          <w:p>
            <w:pPr>
              <w:spacing w:after="80" w:before="80"/>
            </w:pPr>
            <w:r>
              <w:rPr>
                <w:b/>
                <w:color w:val="FFFFFF"/>
                <w:sz w:val="18"/>
              </w:rPr>
              <w:t>Stage</w:t>
            </w:r>
          </w:p>
        </w:tc>
        <w:tc>
          <w:tcPr>
            <w:tcW w:type="dxa" w:w="7483"/>
            <w:tcBorders>
              <w:top w:val="single" w:sz="4" w:color="D9D9D9"/>
              <w:left w:val="single" w:sz="4" w:color="D9D9D9"/>
              <w:bottom w:val="single" w:sz="4" w:color="D9D9D9"/>
              <w:right w:val="single" w:sz="4" w:color="D9D9D9"/>
            </w:tcBorders>
            <w:shd w:fill="527E98"/>
          </w:tcPr>
          <w:p>
            <w:pPr>
              <w:spacing w:after="80" w:before="80"/>
            </w:pPr>
            <w:r>
              <w:rPr>
                <w:b/>
                <w:color w:val="FFFFFF"/>
                <w:sz w:val="18"/>
              </w:rPr>
              <w:t>Teacher action</w:t>
            </w:r>
          </w:p>
        </w:tc>
      </w:tr>
      <w:tr>
        <w:tc>
          <w:tcPr>
            <w:tcW w:type="dxa" w:w="1020"/>
            <w:tcBorders>
              <w:top w:val="single" w:sz="4" w:color="D9D9D9"/>
              <w:left w:val="single" w:sz="4" w:color="D9D9D9"/>
              <w:bottom w:val="single" w:sz="4" w:color="D9D9D9"/>
              <w:right w:val="single" w:sz="4" w:color="D9D9D9"/>
            </w:tcBorders>
            <w:shd w:fill="F2F5F6"/>
          </w:tcPr>
          <w:p>
            <w:pPr>
              <w:spacing w:after="80" w:before="80"/>
            </w:pPr>
            <w:r>
              <w:rPr>
                <w:b w:val="0"/>
                <w:color w:val="17263B"/>
                <w:sz w:val="18"/>
              </w:rPr>
              <w:t>0–5</w:t>
            </w:r>
          </w:p>
        </w:tc>
        <w:tc>
          <w:tcPr>
            <w:tcW w:type="dxa" w:w="1474"/>
            <w:tcBorders>
              <w:top w:val="single" w:sz="4" w:color="D9D9D9"/>
              <w:left w:val="single" w:sz="4" w:color="D9D9D9"/>
              <w:bottom w:val="single" w:sz="4" w:color="D9D9D9"/>
              <w:right w:val="single" w:sz="4" w:color="D9D9D9"/>
            </w:tcBorders>
            <w:shd w:fill="F2F5F6"/>
          </w:tcPr>
          <w:p>
            <w:pPr>
              <w:spacing w:after="80" w:before="80"/>
            </w:pPr>
            <w:r>
              <w:rPr>
                <w:b w:val="0"/>
                <w:color w:val="17263B"/>
                <w:sz w:val="18"/>
              </w:rPr>
              <w:t>Arrival</w:t>
            </w:r>
          </w:p>
        </w:tc>
        <w:tc>
          <w:tcPr>
            <w:tcW w:type="dxa" w:w="7483"/>
            <w:tcBorders>
              <w:top w:val="single" w:sz="4" w:color="D9D9D9"/>
              <w:left w:val="single" w:sz="4" w:color="D9D9D9"/>
              <w:bottom w:val="single" w:sz="4" w:color="D9D9D9"/>
              <w:right w:val="single" w:sz="4" w:color="D9D9D9"/>
            </w:tcBorders>
            <w:shd w:fill="F2F5F6"/>
          </w:tcPr>
          <w:p>
            <w:pPr>
              <w:spacing w:after="80" w:before="80"/>
            </w:pPr>
            <w:r>
              <w:rPr>
                <w:b w:val="0"/>
                <w:color w:val="17263B"/>
                <w:sz w:val="18"/>
              </w:rPr>
              <w:t>Retrieve A–C records; each learner points to actual work and one choice.</w:t>
            </w:r>
          </w:p>
        </w:tc>
      </w:tr>
      <w:tr>
        <w:tc>
          <w:tcPr>
            <w:tcW w:type="dxa" w:w="1020"/>
            <w:tcBorders>
              <w:top w:val="single" w:sz="4" w:color="D9D9D9"/>
              <w:left w:val="single" w:sz="4" w:color="D9D9D9"/>
              <w:bottom w:val="single" w:sz="4" w:color="D9D9D9"/>
              <w:right w:val="single" w:sz="4" w:color="D9D9D9"/>
            </w:tcBorders>
            <w:shd w:fill="FFFFFF"/>
          </w:tcPr>
          <w:p>
            <w:pPr>
              <w:spacing w:after="80" w:before="80"/>
            </w:pPr>
            <w:r>
              <w:rPr>
                <w:b w:val="0"/>
                <w:color w:val="17263B"/>
                <w:sz w:val="18"/>
              </w:rPr>
              <w:t>5–8</w:t>
            </w:r>
          </w:p>
        </w:tc>
        <w:tc>
          <w:tcPr>
            <w:tcW w:type="dxa" w:w="1474"/>
            <w:tcBorders>
              <w:top w:val="single" w:sz="4" w:color="D9D9D9"/>
              <w:left w:val="single" w:sz="4" w:color="D9D9D9"/>
              <w:bottom w:val="single" w:sz="4" w:color="D9D9D9"/>
              <w:right w:val="single" w:sz="4" w:color="D9D9D9"/>
            </w:tcBorders>
            <w:shd w:fill="FFFFFF"/>
          </w:tcPr>
          <w:p>
            <w:pPr>
              <w:spacing w:after="80" w:before="80"/>
            </w:pPr>
            <w:r>
              <w:rPr>
                <w:b w:val="0"/>
                <w:color w:val="17263B"/>
                <w:sz w:val="18"/>
              </w:rPr>
              <w:t>Starter</w:t>
            </w:r>
          </w:p>
        </w:tc>
        <w:tc>
          <w:tcPr>
            <w:tcW w:type="dxa" w:w="7483"/>
            <w:tcBorders>
              <w:top w:val="single" w:sz="4" w:color="D9D9D9"/>
              <w:left w:val="single" w:sz="4" w:color="D9D9D9"/>
              <w:bottom w:val="single" w:sz="4" w:color="D9D9D9"/>
              <w:right w:val="single" w:sz="4" w:color="D9D9D9"/>
            </w:tcBorders>
            <w:shd w:fill="FFFFFF"/>
          </w:tcPr>
          <w:p>
            <w:pPr>
              <w:spacing w:after="80" w:before="80"/>
            </w:pPr>
            <w:r>
              <w:rPr>
                <w:b w:val="0"/>
                <w:color w:val="17263B"/>
                <w:sz w:val="18"/>
              </w:rPr>
              <w:t>Compare a bare object label with an account of enjoyment and learning.</w:t>
            </w:r>
          </w:p>
        </w:tc>
      </w:tr>
      <w:tr>
        <w:tc>
          <w:tcPr>
            <w:tcW w:type="dxa" w:w="1020"/>
            <w:tcBorders>
              <w:top w:val="single" w:sz="4" w:color="D9D9D9"/>
              <w:left w:val="single" w:sz="4" w:color="D9D9D9"/>
              <w:bottom w:val="single" w:sz="4" w:color="D9D9D9"/>
              <w:right w:val="single" w:sz="4" w:color="D9D9D9"/>
            </w:tcBorders>
            <w:shd w:fill="F2F5F6"/>
          </w:tcPr>
          <w:p>
            <w:pPr>
              <w:spacing w:after="80" w:before="80"/>
            </w:pPr>
            <w:r>
              <w:rPr>
                <w:b w:val="0"/>
                <w:color w:val="17263B"/>
                <w:sz w:val="18"/>
              </w:rPr>
              <w:t>8–14</w:t>
            </w:r>
          </w:p>
        </w:tc>
        <w:tc>
          <w:tcPr>
            <w:tcW w:type="dxa" w:w="1474"/>
            <w:tcBorders>
              <w:top w:val="single" w:sz="4" w:color="D9D9D9"/>
              <w:left w:val="single" w:sz="4" w:color="D9D9D9"/>
              <w:bottom w:val="single" w:sz="4" w:color="D9D9D9"/>
              <w:right w:val="single" w:sz="4" w:color="D9D9D9"/>
            </w:tcBorders>
            <w:shd w:fill="F2F5F6"/>
          </w:tcPr>
          <w:p>
            <w:pPr>
              <w:spacing w:after="80" w:before="80"/>
            </w:pPr>
            <w:r>
              <w:rPr>
                <w:b w:val="0"/>
                <w:color w:val="17263B"/>
                <w:sz w:val="18"/>
              </w:rPr>
              <w:t>I do</w:t>
            </w:r>
          </w:p>
        </w:tc>
        <w:tc>
          <w:tcPr>
            <w:tcW w:type="dxa" w:w="7483"/>
            <w:tcBorders>
              <w:top w:val="single" w:sz="4" w:color="D9D9D9"/>
              <w:left w:val="single" w:sz="4" w:color="D9D9D9"/>
              <w:bottom w:val="single" w:sz="4" w:color="D9D9D9"/>
              <w:right w:val="single" w:sz="4" w:color="D9D9D9"/>
            </w:tcBorders>
            <w:shd w:fill="F2F5F6"/>
          </w:tcPr>
          <w:p>
            <w:pPr>
              <w:spacing w:after="80" w:before="80"/>
            </w:pPr>
            <w:r>
              <w:rPr>
                <w:b w:val="0"/>
                <w:color w:val="17263B"/>
                <w:sz w:val="18"/>
              </w:rPr>
              <w:t>Use the four-stage 60-second model, then revisit steps and four words.</w:t>
            </w:r>
          </w:p>
        </w:tc>
      </w:tr>
      <w:tr>
        <w:tc>
          <w:tcPr>
            <w:tcW w:type="dxa" w:w="1020"/>
            <w:tcBorders>
              <w:top w:val="single" w:sz="4" w:color="D9D9D9"/>
              <w:left w:val="single" w:sz="4" w:color="D9D9D9"/>
              <w:bottom w:val="single" w:sz="4" w:color="D9D9D9"/>
              <w:right w:val="single" w:sz="4" w:color="D9D9D9"/>
            </w:tcBorders>
            <w:shd w:fill="FFFFFF"/>
          </w:tcPr>
          <w:p>
            <w:pPr>
              <w:spacing w:after="80" w:before="80"/>
            </w:pPr>
            <w:r>
              <w:rPr>
                <w:b w:val="0"/>
                <w:color w:val="17263B"/>
                <w:sz w:val="18"/>
              </w:rPr>
              <w:t>14–22</w:t>
            </w:r>
          </w:p>
        </w:tc>
        <w:tc>
          <w:tcPr>
            <w:tcW w:type="dxa" w:w="1474"/>
            <w:tcBorders>
              <w:top w:val="single" w:sz="4" w:color="D9D9D9"/>
              <w:left w:val="single" w:sz="4" w:color="D9D9D9"/>
              <w:bottom w:val="single" w:sz="4" w:color="D9D9D9"/>
              <w:right w:val="single" w:sz="4" w:color="D9D9D9"/>
            </w:tcBorders>
            <w:shd w:fill="FFFFFF"/>
          </w:tcPr>
          <w:p>
            <w:pPr>
              <w:spacing w:after="80" w:before="80"/>
            </w:pPr>
            <w:r>
              <w:rPr>
                <w:b w:val="0"/>
                <w:color w:val="17263B"/>
                <w:sz w:val="18"/>
              </w:rPr>
              <w:t>We do</w:t>
            </w:r>
          </w:p>
        </w:tc>
        <w:tc>
          <w:tcPr>
            <w:tcW w:type="dxa" w:w="7483"/>
            <w:tcBorders>
              <w:top w:val="single" w:sz="4" w:color="D9D9D9"/>
              <w:left w:val="single" w:sz="4" w:color="D9D9D9"/>
              <w:bottom w:val="single" w:sz="4" w:color="D9D9D9"/>
              <w:right w:val="single" w:sz="4" w:color="D9D9D9"/>
            </w:tcBorders>
            <w:shd w:fill="FFFFFF"/>
          </w:tcPr>
          <w:p>
            <w:pPr>
              <w:spacing w:after="80" w:before="80"/>
            </w:pPr>
            <w:r>
              <w:rPr>
                <w:b w:val="0"/>
                <w:color w:val="17263B"/>
                <w:sz w:val="18"/>
              </w:rPr>
              <w:t>Match enjoyment, learning and real examples on the labelled class model.</w:t>
            </w:r>
          </w:p>
        </w:tc>
      </w:tr>
      <w:tr>
        <w:tc>
          <w:tcPr>
            <w:tcW w:type="dxa" w:w="1020"/>
            <w:tcBorders>
              <w:top w:val="single" w:sz="4" w:color="D9D9D9"/>
              <w:left w:val="single" w:sz="4" w:color="D9D9D9"/>
              <w:bottom w:val="single" w:sz="4" w:color="D9D9D9"/>
              <w:right w:val="single" w:sz="4" w:color="D9D9D9"/>
            </w:tcBorders>
            <w:shd w:fill="F2F5F6"/>
          </w:tcPr>
          <w:p>
            <w:pPr>
              <w:spacing w:after="80" w:before="80"/>
            </w:pPr>
            <w:r>
              <w:rPr>
                <w:b w:val="0"/>
                <w:color w:val="17263B"/>
                <w:sz w:val="18"/>
              </w:rPr>
              <w:t>22–37</w:t>
            </w:r>
          </w:p>
        </w:tc>
        <w:tc>
          <w:tcPr>
            <w:tcW w:type="dxa" w:w="1474"/>
            <w:tcBorders>
              <w:top w:val="single" w:sz="4" w:color="D9D9D9"/>
              <w:left w:val="single" w:sz="4" w:color="D9D9D9"/>
              <w:bottom w:val="single" w:sz="4" w:color="D9D9D9"/>
              <w:right w:val="single" w:sz="4" w:color="D9D9D9"/>
            </w:tcBorders>
            <w:shd w:fill="F2F5F6"/>
          </w:tcPr>
          <w:p>
            <w:pPr>
              <w:spacing w:after="80" w:before="80"/>
            </w:pPr>
            <w:r>
              <w:rPr>
                <w:b w:val="0"/>
                <w:color w:val="17263B"/>
                <w:sz w:val="18"/>
              </w:rPr>
              <w:t>You do</w:t>
            </w:r>
          </w:p>
        </w:tc>
        <w:tc>
          <w:tcPr>
            <w:tcW w:type="dxa" w:w="7483"/>
            <w:tcBorders>
              <w:top w:val="single" w:sz="4" w:color="D9D9D9"/>
              <w:left w:val="single" w:sz="4" w:color="D9D9D9"/>
              <w:bottom w:val="single" w:sz="4" w:color="D9D9D9"/>
              <w:right w:val="single" w:sz="4" w:color="D9D9D9"/>
            </w:tcBorders>
            <w:shd w:fill="F2F5F6"/>
          </w:tcPr>
          <w:p>
            <w:pPr>
              <w:spacing w:after="80" w:before="80"/>
            </w:pPr>
            <w:r>
              <w:rPr>
                <w:b w:val="0"/>
                <w:color w:val="17263B"/>
                <w:sz w:val="18"/>
              </w:rPr>
              <w:t>22–28 choose; 28–34 form the own account and audience plan; 34–37 check/save/tidy.</w:t>
            </w:r>
          </w:p>
        </w:tc>
      </w:tr>
      <w:tr>
        <w:tc>
          <w:tcPr>
            <w:tcW w:type="dxa" w:w="1020"/>
            <w:tcBorders>
              <w:top w:val="single" w:sz="4" w:color="D9D9D9"/>
              <w:left w:val="single" w:sz="4" w:color="D9D9D9"/>
              <w:bottom w:val="single" w:sz="4" w:color="D9D9D9"/>
              <w:right w:val="single" w:sz="4" w:color="D9D9D9"/>
            </w:tcBorders>
            <w:shd w:fill="FFFFFF"/>
          </w:tcPr>
          <w:p>
            <w:pPr>
              <w:spacing w:after="80" w:before="80"/>
            </w:pPr>
            <w:r>
              <w:rPr>
                <w:b w:val="0"/>
                <w:color w:val="17263B"/>
                <w:sz w:val="18"/>
              </w:rPr>
              <w:t>37–40</w:t>
            </w:r>
          </w:p>
        </w:tc>
        <w:tc>
          <w:tcPr>
            <w:tcW w:type="dxa" w:w="1474"/>
            <w:tcBorders>
              <w:top w:val="single" w:sz="4" w:color="D9D9D9"/>
              <w:left w:val="single" w:sz="4" w:color="D9D9D9"/>
              <w:bottom w:val="single" w:sz="4" w:color="D9D9D9"/>
              <w:right w:val="single" w:sz="4" w:color="D9D9D9"/>
            </w:tcBorders>
            <w:shd w:fill="FFFFFF"/>
          </w:tcPr>
          <w:p>
            <w:pPr>
              <w:spacing w:after="80" w:before="80"/>
            </w:pPr>
            <w:r>
              <w:rPr>
                <w:b w:val="0"/>
                <w:color w:val="17263B"/>
                <w:sz w:val="18"/>
              </w:rPr>
              <w:t>Exit</w:t>
            </w:r>
          </w:p>
        </w:tc>
        <w:tc>
          <w:tcPr>
            <w:tcW w:type="dxa" w:w="7483"/>
            <w:tcBorders>
              <w:top w:val="single" w:sz="4" w:color="D9D9D9"/>
              <w:left w:val="single" w:sz="4" w:color="D9D9D9"/>
              <w:bottom w:val="single" w:sz="4" w:color="D9D9D9"/>
              <w:right w:val="single" w:sz="4" w:color="D9D9D9"/>
            </w:tcBorders>
            <w:shd w:fill="FFFFFF"/>
          </w:tcPr>
          <w:p>
            <w:pPr>
              <w:spacing w:after="80" w:before="80"/>
            </w:pPr>
            <w:r>
              <w:rPr>
                <w:b w:val="0"/>
                <w:color w:val="17263B"/>
                <w:sz w:val="18"/>
              </w:rPr>
              <w:t>Ask the end question of each learner and locate D page 1.</w:t>
            </w:r>
          </w:p>
        </w:tc>
      </w:tr>
    </w:tbl>
    <w:p>
      <w:pPr>
        <w:pStyle w:val="Heading2"/>
        <w:spacing w:after="140"/>
      </w:pPr>
      <w:r>
        <w:rPr>
          <w:b w:val="0"/>
        </w:rPr>
        <w:t>Teaching both groups</w:t>
      </w:r>
    </w:p>
    <w:p>
      <w:pPr>
        <w:spacing w:after="140"/>
      </w:pPr>
      <w:r>
        <w:rPr>
          <w:b w:val="0"/>
          <w:sz w:val="20"/>
        </w:rPr>
        <w:t>One BUILD-band lesson serves BUILD and GROW. GROW starts with Independent. Supported offers scaffolds and Aspire optional depth. Use a pair and a trio, retaining each learner’s own choice and record. A trusted adult can be the practice listener. No forced public performance or recording.</w:t>
      </w:r>
    </w:p>
    <w:p>
      <w:r>
        <w:br w:type="page"/>
      </w:r>
    </w:p>
    <w:p>
      <w:pPr>
        <w:pStyle w:val="Title"/>
        <w:spacing w:after="140"/>
      </w:pPr>
      <w:r>
        <w:rPr>
          <w:b w:val="0"/>
        </w:rPr>
        <w:t>Kit and room set up</w:t>
      </w:r>
    </w:p>
    <w:p>
      <w:pPr>
        <w:spacing w:after="140"/>
      </w:pPr>
      <w:r>
        <w:rPr>
          <w:b w:val="0"/>
          <w:sz w:val="20"/>
        </w:rPr>
        <w:t>Quantities for five learners and the adult model.</w:t>
      </w:r>
    </w:p>
    <w:tbl>
      <w:tblPr>
        <w:tblW w:type="auto" w:w="0"/>
        <w:jc w:val="center"/>
        <w:tblLayout w:type="fixed"/>
        <w:tblLook w:firstColumn="1" w:firstRow="1" w:lastColumn="0" w:lastRow="0" w:noHBand="0" w:noVBand="1" w:val="04A0"/>
      </w:tblPr>
      <w:tblGrid>
        <w:gridCol w:w="3742"/>
        <w:gridCol w:w="6236"/>
      </w:tblGrid>
      <w:tr>
        <w:tc>
          <w:tcPr>
            <w:tcW w:type="dxa" w:w="3742"/>
            <w:tcBorders>
              <w:top w:val="single" w:sz="4" w:color="D9D9D9"/>
              <w:left w:val="single" w:sz="4" w:color="D9D9D9"/>
              <w:bottom w:val="single" w:sz="4" w:color="D9D9D9"/>
              <w:right w:val="single" w:sz="4" w:color="D9D9D9"/>
            </w:tcBorders>
            <w:shd w:fill="527E98"/>
          </w:tcPr>
          <w:p>
            <w:pPr>
              <w:spacing w:after="80" w:before="80"/>
            </w:pPr>
            <w:r>
              <w:rPr>
                <w:b/>
                <w:color w:val="FFFFFF"/>
                <w:sz w:val="18"/>
              </w:rPr>
              <w:t>Item</w:t>
            </w:r>
          </w:p>
        </w:tc>
        <w:tc>
          <w:tcPr>
            <w:tcW w:type="dxa" w:w="6236"/>
            <w:tcBorders>
              <w:top w:val="single" w:sz="4" w:color="D9D9D9"/>
              <w:left w:val="single" w:sz="4" w:color="D9D9D9"/>
              <w:bottom w:val="single" w:sz="4" w:color="D9D9D9"/>
              <w:right w:val="single" w:sz="4" w:color="D9D9D9"/>
            </w:tcBorders>
            <w:shd w:fill="527E98"/>
          </w:tcPr>
          <w:p>
            <w:pPr>
              <w:spacing w:after="80" w:before="80"/>
            </w:pPr>
            <w:r>
              <w:rPr>
                <w:b/>
                <w:color w:val="FFFFFF"/>
                <w:sz w:val="18"/>
              </w:rPr>
              <w:t>Quantity</w:t>
            </w:r>
          </w:p>
        </w:tc>
      </w:tr>
      <w:tr>
        <w:tc>
          <w:tcPr>
            <w:tcW w:type="dxa" w:w="3742"/>
            <w:tcBorders>
              <w:top w:val="single" w:sz="4" w:color="D9D9D9"/>
              <w:left w:val="single" w:sz="4" w:color="D9D9D9"/>
              <w:bottom w:val="single" w:sz="4" w:color="D9D9D9"/>
              <w:right w:val="single" w:sz="4" w:color="D9D9D9"/>
            </w:tcBorders>
            <w:shd w:fill="F2F5F6"/>
          </w:tcPr>
          <w:p>
            <w:pPr>
              <w:spacing w:after="80" w:before="80"/>
            </w:pPr>
            <w:r>
              <w:rPr>
                <w:b w:val="0"/>
                <w:color w:val="17263B"/>
                <w:sz w:val="18"/>
              </w:rPr>
              <w:t>Existing individual A–C records and artworks</w:t>
            </w:r>
          </w:p>
        </w:tc>
        <w:tc>
          <w:tcPr>
            <w:tcW w:type="dxa" w:w="6236"/>
            <w:tcBorders>
              <w:top w:val="single" w:sz="4" w:color="D9D9D9"/>
              <w:left w:val="single" w:sz="4" w:color="D9D9D9"/>
              <w:bottom w:val="single" w:sz="4" w:color="D9D9D9"/>
              <w:right w:val="single" w:sz="4" w:color="D9D9D9"/>
            </w:tcBorders>
            <w:shd w:fill="F2F5F6"/>
          </w:tcPr>
          <w:p>
            <w:pPr>
              <w:spacing w:after="80" w:before="80"/>
            </w:pPr>
            <w:r>
              <w:rPr>
                <w:b w:val="0"/>
                <w:color w:val="17263B"/>
                <w:sz w:val="18"/>
              </w:rPr>
              <w:t>5 sets; keep A and C objects distinct</w:t>
            </w:r>
          </w:p>
        </w:tc>
      </w:tr>
      <w:tr>
        <w:tc>
          <w:tcPr>
            <w:tcW w:type="dxa" w:w="3742"/>
            <w:tcBorders>
              <w:top w:val="single" w:sz="4" w:color="D9D9D9"/>
              <w:left w:val="single" w:sz="4" w:color="D9D9D9"/>
              <w:bottom w:val="single" w:sz="4" w:color="D9D9D9"/>
              <w:right w:val="single" w:sz="4" w:color="D9D9D9"/>
            </w:tcBorders>
            <w:shd w:fill="FFFFFF"/>
          </w:tcPr>
          <w:p>
            <w:pPr>
              <w:spacing w:after="80" w:before="80"/>
            </w:pPr>
            <w:r>
              <w:rPr>
                <w:b w:val="0"/>
                <w:color w:val="17263B"/>
                <w:sz w:val="18"/>
              </w:rPr>
              <w:t>D choice pages and Evidence Index</w:t>
            </w:r>
          </w:p>
        </w:tc>
        <w:tc>
          <w:tcPr>
            <w:tcW w:type="dxa" w:w="6236"/>
            <w:tcBorders>
              <w:top w:val="single" w:sz="4" w:color="D9D9D9"/>
              <w:left w:val="single" w:sz="4" w:color="D9D9D9"/>
              <w:bottom w:val="single" w:sz="4" w:color="D9D9D9"/>
              <w:right w:val="single" w:sz="4" w:color="D9D9D9"/>
            </w:tcBorders>
            <w:shd w:fill="FFFFFF"/>
          </w:tcPr>
          <w:p>
            <w:pPr>
              <w:spacing w:after="80" w:before="80"/>
            </w:pPr>
            <w:r>
              <w:rPr>
                <w:b w:val="0"/>
                <w:color w:val="17263B"/>
                <w:sz w:val="18"/>
              </w:rPr>
              <w:t>5 D page 1 sheets; 5 existing indexes</w:t>
            </w:r>
          </w:p>
        </w:tc>
      </w:tr>
      <w:tr>
        <w:tc>
          <w:tcPr>
            <w:tcW w:type="dxa" w:w="3742"/>
            <w:tcBorders>
              <w:top w:val="single" w:sz="4" w:color="D9D9D9"/>
              <w:left w:val="single" w:sz="4" w:color="D9D9D9"/>
              <w:bottom w:val="single" w:sz="4" w:color="D9D9D9"/>
              <w:right w:val="single" w:sz="4" w:color="D9D9D9"/>
            </w:tcBorders>
            <w:shd w:fill="F2F5F6"/>
          </w:tcPr>
          <w:p>
            <w:pPr>
              <w:spacing w:after="80" w:before="80"/>
            </w:pPr>
            <w:r>
              <w:rPr>
                <w:b w:val="0"/>
                <w:color w:val="17263B"/>
                <w:sz w:val="18"/>
              </w:rPr>
              <w:t>ENJOY / LEARNT prompt cards</w:t>
            </w:r>
          </w:p>
        </w:tc>
        <w:tc>
          <w:tcPr>
            <w:tcW w:type="dxa" w:w="6236"/>
            <w:tcBorders>
              <w:top w:val="single" w:sz="4" w:color="D9D9D9"/>
              <w:left w:val="single" w:sz="4" w:color="D9D9D9"/>
              <w:bottom w:val="single" w:sz="4" w:color="D9D9D9"/>
              <w:right w:val="single" w:sz="4" w:color="D9D9D9"/>
            </w:tcBorders>
            <w:shd w:fill="F2F5F6"/>
          </w:tcPr>
          <w:p>
            <w:pPr>
              <w:spacing w:after="80" w:before="80"/>
            </w:pPr>
            <w:r>
              <w:rPr>
                <w:b w:val="0"/>
                <w:color w:val="17263B"/>
                <w:sz w:val="18"/>
              </w:rPr>
              <w:t>5 pairs plus 1 adult model pair</w:t>
            </w:r>
          </w:p>
        </w:tc>
      </w:tr>
      <w:tr>
        <w:tc>
          <w:tcPr>
            <w:tcW w:type="dxa" w:w="3742"/>
            <w:tcBorders>
              <w:top w:val="single" w:sz="4" w:color="D9D9D9"/>
              <w:left w:val="single" w:sz="4" w:color="D9D9D9"/>
              <w:bottom w:val="single" w:sz="4" w:color="D9D9D9"/>
              <w:right w:val="single" w:sz="4" w:color="D9D9D9"/>
            </w:tcBorders>
            <w:shd w:fill="FFFFFF"/>
          </w:tcPr>
          <w:p>
            <w:pPr>
              <w:spacing w:after="80" w:before="80"/>
            </w:pPr>
            <w:r>
              <w:rPr>
                <w:b w:val="0"/>
                <w:color w:val="17263B"/>
                <w:sz w:val="18"/>
              </w:rPr>
              <w:t>Visual steps and word mats</w:t>
            </w:r>
          </w:p>
        </w:tc>
        <w:tc>
          <w:tcPr>
            <w:tcW w:type="dxa" w:w="6236"/>
            <w:tcBorders>
              <w:top w:val="single" w:sz="4" w:color="D9D9D9"/>
              <w:left w:val="single" w:sz="4" w:color="D9D9D9"/>
              <w:bottom w:val="single" w:sz="4" w:color="D9D9D9"/>
              <w:right w:val="single" w:sz="4" w:color="D9D9D9"/>
            </w:tcBorders>
            <w:shd w:fill="FFFFFF"/>
          </w:tcPr>
          <w:p>
            <w:pPr>
              <w:spacing w:after="80" w:before="80"/>
            </w:pPr>
            <w:r>
              <w:rPr>
                <w:b w:val="0"/>
                <w:color w:val="17263B"/>
                <w:sz w:val="18"/>
              </w:rPr>
              <w:t>5 sets of each</w:t>
            </w:r>
          </w:p>
        </w:tc>
      </w:tr>
      <w:tr>
        <w:tc>
          <w:tcPr>
            <w:tcW w:type="dxa" w:w="3742"/>
            <w:tcBorders>
              <w:top w:val="single" w:sz="4" w:color="D9D9D9"/>
              <w:left w:val="single" w:sz="4" w:color="D9D9D9"/>
              <w:bottom w:val="single" w:sz="4" w:color="D9D9D9"/>
              <w:right w:val="single" w:sz="4" w:color="D9D9D9"/>
            </w:tcBorders>
            <w:shd w:fill="F2F5F6"/>
          </w:tcPr>
          <w:p>
            <w:pPr>
              <w:spacing w:after="80" w:before="80"/>
            </w:pPr>
            <w:r>
              <w:rPr>
                <w:b w:val="0"/>
                <w:color w:val="17263B"/>
                <w:sz w:val="18"/>
              </w:rPr>
              <w:t>Pencils and blank cue cards</w:t>
            </w:r>
          </w:p>
        </w:tc>
        <w:tc>
          <w:tcPr>
            <w:tcW w:type="dxa" w:w="6236"/>
            <w:tcBorders>
              <w:top w:val="single" w:sz="4" w:color="D9D9D9"/>
              <w:left w:val="single" w:sz="4" w:color="D9D9D9"/>
              <w:bottom w:val="single" w:sz="4" w:color="D9D9D9"/>
              <w:right w:val="single" w:sz="4" w:color="D9D9D9"/>
            </w:tcBorders>
            <w:shd w:fill="F2F5F6"/>
          </w:tcPr>
          <w:p>
            <w:pPr>
              <w:spacing w:after="80" w:before="80"/>
            </w:pPr>
            <w:r>
              <w:rPr>
                <w:b w:val="0"/>
                <w:color w:val="17263B"/>
                <w:sz w:val="18"/>
              </w:rPr>
              <w:t>6 pencils; 15 cards</w:t>
            </w:r>
          </w:p>
        </w:tc>
      </w:tr>
      <w:tr>
        <w:tc>
          <w:tcPr>
            <w:tcW w:type="dxa" w:w="3742"/>
            <w:tcBorders>
              <w:top w:val="single" w:sz="4" w:color="D9D9D9"/>
              <w:left w:val="single" w:sz="4" w:color="D9D9D9"/>
              <w:bottom w:val="single" w:sz="4" w:color="D9D9D9"/>
              <w:right w:val="single" w:sz="4" w:color="D9D9D9"/>
            </w:tcBorders>
            <w:shd w:fill="FFFFFF"/>
          </w:tcPr>
          <w:p>
            <w:pPr>
              <w:spacing w:after="80" w:before="80"/>
            </w:pPr>
            <w:r>
              <w:rPr>
                <w:b w:val="0"/>
                <w:color w:val="17263B"/>
                <w:sz w:val="18"/>
              </w:rPr>
              <w:t>Class examples</w:t>
            </w:r>
          </w:p>
        </w:tc>
        <w:tc>
          <w:tcPr>
            <w:tcW w:type="dxa" w:w="6236"/>
            <w:tcBorders>
              <w:top w:val="single" w:sz="4" w:color="D9D9D9"/>
              <w:left w:val="single" w:sz="4" w:color="D9D9D9"/>
              <w:bottom w:val="single" w:sz="4" w:color="D9D9D9"/>
              <w:right w:val="single" w:sz="4" w:color="D9D9D9"/>
            </w:tcBorders>
            <w:shd w:fill="FFFFFF"/>
          </w:tcPr>
          <w:p>
            <w:pPr>
              <w:spacing w:after="80" w:before="80"/>
            </w:pPr>
            <w:r>
              <w:rPr>
                <w:b w:val="0"/>
                <w:color w:val="17263B"/>
                <w:sz w:val="18"/>
              </w:rPr>
              <w:t>1 labelled colour sample and 1 paper relief sample</w:t>
            </w:r>
          </w:p>
        </w:tc>
      </w:tr>
      <w:tr>
        <w:tc>
          <w:tcPr>
            <w:tcW w:type="dxa" w:w="3742"/>
            <w:tcBorders>
              <w:top w:val="single" w:sz="4" w:color="D9D9D9"/>
              <w:left w:val="single" w:sz="4" w:color="D9D9D9"/>
              <w:bottom w:val="single" w:sz="4" w:color="D9D9D9"/>
              <w:right w:val="single" w:sz="4" w:color="D9D9D9"/>
            </w:tcBorders>
            <w:shd w:fill="F2F5F6"/>
          </w:tcPr>
          <w:p>
            <w:pPr>
              <w:spacing w:after="80" w:before="80"/>
            </w:pPr>
            <w:r>
              <w:rPr>
                <w:b w:val="0"/>
                <w:color w:val="17263B"/>
                <w:sz w:val="18"/>
              </w:rPr>
              <w:t>Sharing-mode choices</w:t>
            </w:r>
          </w:p>
        </w:tc>
        <w:tc>
          <w:tcPr>
            <w:tcW w:type="dxa" w:w="6236"/>
            <w:tcBorders>
              <w:top w:val="single" w:sz="4" w:color="D9D9D9"/>
              <w:left w:val="single" w:sz="4" w:color="D9D9D9"/>
              <w:bottom w:val="single" w:sz="4" w:color="D9D9D9"/>
              <w:right w:val="single" w:sz="4" w:color="D9D9D9"/>
            </w:tcBorders>
            <w:shd w:fill="F2F5F6"/>
          </w:tcPr>
          <w:p>
            <w:pPr>
              <w:spacing w:after="80" w:before="80"/>
            </w:pPr>
            <w:r>
              <w:rPr>
                <w:b w:val="0"/>
                <w:color w:val="17263B"/>
                <w:sz w:val="18"/>
              </w:rPr>
              <w:t>5 sets: talk, sign, show, play a recording</w:t>
            </w:r>
          </w:p>
        </w:tc>
      </w:tr>
      <w:tr>
        <w:tc>
          <w:tcPr>
            <w:tcW w:type="dxa" w:w="3742"/>
            <w:tcBorders>
              <w:top w:val="single" w:sz="4" w:color="D9D9D9"/>
              <w:left w:val="single" w:sz="4" w:color="D9D9D9"/>
              <w:bottom w:val="single" w:sz="4" w:color="D9D9D9"/>
              <w:right w:val="single" w:sz="4" w:color="D9D9D9"/>
            </w:tcBorders>
            <w:shd w:fill="FFFFFF"/>
          </w:tcPr>
          <w:p>
            <w:pPr>
              <w:spacing w:after="80" w:before="80"/>
            </w:pPr>
            <w:r>
              <w:rPr>
                <w:b w:val="0"/>
                <w:color w:val="17263B"/>
                <w:sz w:val="18"/>
              </w:rPr>
              <w:t>School device if chosen</w:t>
            </w:r>
          </w:p>
        </w:tc>
        <w:tc>
          <w:tcPr>
            <w:tcW w:type="dxa" w:w="6236"/>
            <w:tcBorders>
              <w:top w:val="single" w:sz="4" w:color="D9D9D9"/>
              <w:left w:val="single" w:sz="4" w:color="D9D9D9"/>
              <w:bottom w:val="single" w:sz="4" w:color="D9D9D9"/>
              <w:right w:val="single" w:sz="4" w:color="D9D9D9"/>
            </w:tcBorders>
            <w:shd w:fill="FFFFFF"/>
          </w:tcPr>
          <w:p>
            <w:pPr>
              <w:spacing w:after="80" w:before="80"/>
            </w:pPr>
            <w:r>
              <w:rPr>
                <w:b w:val="0"/>
                <w:color w:val="17263B"/>
                <w:sz w:val="18"/>
              </w:rPr>
              <w:t>1 device; work-only capture where permitted</w:t>
            </w:r>
          </w:p>
        </w:tc>
      </w:tr>
      <w:tr>
        <w:tc>
          <w:tcPr>
            <w:tcW w:type="dxa" w:w="3742"/>
            <w:tcBorders>
              <w:top w:val="single" w:sz="4" w:color="D9D9D9"/>
              <w:left w:val="single" w:sz="4" w:color="D9D9D9"/>
              <w:bottom w:val="single" w:sz="4" w:color="D9D9D9"/>
              <w:right w:val="single" w:sz="4" w:color="D9D9D9"/>
            </w:tcBorders>
            <w:shd w:fill="F2F5F6"/>
          </w:tcPr>
          <w:p>
            <w:pPr>
              <w:spacing w:after="80" w:before="80"/>
            </w:pPr>
            <w:r>
              <w:rPr>
                <w:b w:val="0"/>
                <w:color w:val="17263B"/>
                <w:sz w:val="18"/>
              </w:rPr>
              <w:t>Quiet work area</w:t>
            </w:r>
          </w:p>
        </w:tc>
        <w:tc>
          <w:tcPr>
            <w:tcW w:type="dxa" w:w="6236"/>
            <w:tcBorders>
              <w:top w:val="single" w:sz="4" w:color="D9D9D9"/>
              <w:left w:val="single" w:sz="4" w:color="D9D9D9"/>
              <w:bottom w:val="single" w:sz="4" w:color="D9D9D9"/>
              <w:right w:val="single" w:sz="4" w:color="D9D9D9"/>
            </w:tcBorders>
            <w:shd w:fill="F2F5F6"/>
          </w:tcPr>
          <w:p>
            <w:pPr>
              <w:spacing w:after="80" w:before="80"/>
            </w:pPr>
            <w:r>
              <w:rPr>
                <w:b w:val="0"/>
                <w:color w:val="17263B"/>
                <w:sz w:val="18"/>
              </w:rPr>
              <w:t>1 private response space; 5 named trays</w:t>
            </w:r>
          </w:p>
        </w:tc>
      </w:tr>
    </w:tbl>
    <w:p>
      <w:pPr>
        <w:pStyle w:val="Heading2"/>
        <w:spacing w:after="140"/>
      </w:pPr>
      <w:r>
        <w:rPr>
          <w:b w:val="0"/>
        </w:rPr>
        <w:t>Before the lesson</w:t>
      </w:r>
    </w:p>
    <w:p>
      <w:pPr>
        <w:spacing w:after="140"/>
      </w:pPr>
      <w:r>
        <w:rPr>
          <w:b w:val="0"/>
          <w:sz w:val="20"/>
        </w:rPr>
        <w:t>Retrieve each learner’s existing A–C records and actual work before teaching. Check what is present and note any gaps without pre-judging a part. Set out five D page 1 sheets and prompt cards. Use a pair and a trio, with an individual choice for each pupil. Ask the owner for the intended December event date/audience; keep the planning field “to confirm” if unknown. Have a non-recorded route ready.</w:t>
      </w:r>
    </w:p>
    <w:p>
      <w:pPr>
        <w:pStyle w:val="Heading2"/>
        <w:spacing w:after="140"/>
      </w:pPr>
      <w:r>
        <w:rPr>
          <w:b w:val="0"/>
        </w:rPr>
        <w:t>Save and tidy</w:t>
      </w:r>
    </w:p>
    <w:p>
      <w:pPr>
        <w:spacing w:after="140"/>
      </w:pPr>
      <w:r>
        <w:rPr>
          <w:b w:val="0"/>
          <w:sz w:val="20"/>
        </w:rPr>
        <w:t>Use minutes 34–37 to read choices back, check the learner agrees, and place the record on D page 1. Return each work to its own tray. Save only the selected records. Any separate audio or video will count towards the ten-file cap. Keep practice cue cards as class resources or combine their selected content into the existing D file.</w:t>
      </w:r>
    </w:p>
    <w:p>
      <w:pPr>
        <w:spacing w:after="140"/>
      </w:pPr>
      <w:r>
        <w:rPr>
          <w:b w:val="0"/>
          <w:sz w:val="18"/>
        </w:rPr>
        <w:t>Use work-only images when permitted. Follow school consent and device rules. No public upload, names in public files, cutting, heat or glue are needed for these lessons.</w:t>
      </w:r>
    </w:p>
    <w:p>
      <w:r>
        <w:br w:type="page"/>
      </w:r>
    </w:p>
    <w:p>
      <w:pPr>
        <w:pStyle w:val="Title"/>
        <w:spacing w:after="140"/>
      </w:pPr>
      <w:r>
        <w:rPr>
          <w:b w:val="0"/>
        </w:rPr>
        <w:t>The sixty second demonstration</w:t>
      </w:r>
    </w:p>
    <w:p>
      <w:pPr>
        <w:spacing w:after="140"/>
      </w:pPr>
      <w:r>
        <w:rPr>
          <w:b w:val="0"/>
          <w:sz w:val="20"/>
        </w:rPr>
        <w:t>Point to the matching stage. The class example models the task; it is not pupil evidence.</w:t>
      </w:r>
    </w:p>
    <w:tbl>
      <w:tblPr>
        <w:tblW w:type="auto" w:w="0"/>
        <w:tblLayout w:type="fixed"/>
        <w:tblLook w:firstColumn="1" w:firstRow="1" w:lastColumn="0" w:lastRow="0" w:noHBand="0" w:noVBand="1" w:val="04A0"/>
      </w:tblPr>
      <w:tblGrid>
        <w:gridCol w:w="3118"/>
        <w:gridCol w:w="6860"/>
      </w:tblGrid>
      <w:tr>
        <w:tc>
          <w:tcPr>
            <w:tcW w:type="dxa" w:w="4989"/>
          </w:tcPr>
          <w:p>
            <w:r>
              <w:drawing>
                <wp:inline xmlns:a="http://schemas.openxmlformats.org/drawingml/2006/main" xmlns:pic="http://schemas.openxmlformats.org/drawingml/2006/picture">
                  <wp:extent cx="1908000" cy="1119913"/>
                  <wp:docPr id="1" name="Picture 1"/>
                  <wp:cNvGraphicFramePr>
                    <a:graphicFrameLocks noChangeAspect="1"/>
                  </wp:cNvGraphicFramePr>
                  <a:graphic>
                    <a:graphicData uri="http://schemas.openxmlformats.org/drawingml/2006/picture">
                      <pic:pic>
                        <pic:nvPicPr>
                          <pic:cNvPr id="0" name="l1_1.png"/>
                          <pic:cNvPicPr/>
                        </pic:nvPicPr>
                        <pic:blipFill>
                          <a:blip r:embed="rId15"/>
                          <a:stretch>
                            <a:fillRect/>
                          </a:stretch>
                        </pic:blipFill>
                        <pic:spPr>
                          <a:xfrm>
                            <a:off x="0" y="0"/>
                            <a:ext cx="1908000" cy="1119913"/>
                          </a:xfrm>
                          <a:prstGeom prst="rect"/>
                        </pic:spPr>
                      </pic:pic>
                    </a:graphicData>
                  </a:graphic>
                </wp:inline>
              </w:drawing>
            </w:r>
          </w:p>
        </w:tc>
        <w:tc>
          <w:tcPr>
            <w:tcW w:type="dxa" w:w="4989"/>
          </w:tcPr>
          <w:p>
            <w:r>
              <w:rPr>
                <w:sz w:val="20"/>
              </w:rPr>
              <w:t>0–15 seconds  Look</w:t>
              <w:br/>
              <w:t>Point to the labelled class model and three example records. Say: “I look back. I use what is here. A gap stays a gap.” This is a made-up teaching example, not learner evidence.</w:t>
            </w:r>
          </w:p>
        </w:tc>
      </w:tr>
    </w:tbl>
    <w:p>
      <w:pPr>
        <w:spacing w:after="140"/>
      </w:pPr>
      <w:r>
        <w:rPr>
          <w:b w:val="0"/>
          <w:sz w:val="8"/>
        </w:rPr>
      </w:r>
    </w:p>
    <w:tbl>
      <w:tblPr>
        <w:tblW w:type="auto" w:w="0"/>
        <w:tblLayout w:type="fixed"/>
        <w:tblLook w:firstColumn="1" w:firstRow="1" w:lastColumn="0" w:lastRow="0" w:noHBand="0" w:noVBand="1" w:val="04A0"/>
      </w:tblPr>
      <w:tblGrid>
        <w:gridCol w:w="3118"/>
        <w:gridCol w:w="6860"/>
      </w:tblGrid>
      <w:tr>
        <w:tc>
          <w:tcPr>
            <w:tcW w:type="dxa" w:w="4989"/>
          </w:tcPr>
          <w:p>
            <w:r>
              <w:drawing>
                <wp:inline xmlns:a="http://schemas.openxmlformats.org/drawingml/2006/main" xmlns:pic="http://schemas.openxmlformats.org/drawingml/2006/picture">
                  <wp:extent cx="1908000" cy="1119913"/>
                  <wp:docPr id="2" name="Picture 2"/>
                  <wp:cNvGraphicFramePr>
                    <a:graphicFrameLocks noChangeAspect="1"/>
                  </wp:cNvGraphicFramePr>
                  <a:graphic>
                    <a:graphicData uri="http://schemas.openxmlformats.org/drawingml/2006/picture">
                      <pic:pic>
                        <pic:nvPicPr>
                          <pic:cNvPr id="0" name="l1_2.png"/>
                          <pic:cNvPicPr/>
                        </pic:nvPicPr>
                        <pic:blipFill>
                          <a:blip r:embed="rId16"/>
                          <a:stretch>
                            <a:fillRect/>
                          </a:stretch>
                        </pic:blipFill>
                        <pic:spPr>
                          <a:xfrm>
                            <a:off x="0" y="0"/>
                            <a:ext cx="1908000" cy="1119913"/>
                          </a:xfrm>
                          <a:prstGeom prst="rect"/>
                        </pic:spPr>
                      </pic:pic>
                    </a:graphicData>
                  </a:graphic>
                </wp:inline>
              </w:drawing>
            </w:r>
          </w:p>
        </w:tc>
        <w:tc>
          <w:tcPr>
            <w:tcW w:type="dxa" w:w="4989"/>
          </w:tcPr>
          <w:p>
            <w:r>
              <w:rPr>
                <w:sz w:val="20"/>
              </w:rPr>
              <w:t>15–30 seconds  Choose</w:t>
              <w:br/>
              <w:t>Point to the colour sample. Say: “I enjoyed the colour test because I liked the new shades.” Place the ENJOY card beside it.</w:t>
            </w:r>
          </w:p>
        </w:tc>
      </w:tr>
    </w:tbl>
    <w:p>
      <w:pPr>
        <w:spacing w:after="140"/>
      </w:pPr>
      <w:r>
        <w:rPr>
          <w:b w:val="0"/>
          <w:sz w:val="8"/>
        </w:rPr>
      </w:r>
    </w:p>
    <w:tbl>
      <w:tblPr>
        <w:tblW w:type="auto" w:w="0"/>
        <w:tblLayout w:type="fixed"/>
        <w:tblLook w:firstColumn="1" w:firstRow="1" w:lastColumn="0" w:lastRow="0" w:noHBand="0" w:noVBand="1" w:val="04A0"/>
      </w:tblPr>
      <w:tblGrid>
        <w:gridCol w:w="3118"/>
        <w:gridCol w:w="6860"/>
      </w:tblGrid>
      <w:tr>
        <w:tc>
          <w:tcPr>
            <w:tcW w:type="dxa" w:w="4989"/>
          </w:tcPr>
          <w:p>
            <w:r>
              <w:drawing>
                <wp:inline xmlns:a="http://schemas.openxmlformats.org/drawingml/2006/main" xmlns:pic="http://schemas.openxmlformats.org/drawingml/2006/picture">
                  <wp:extent cx="1908000" cy="1119913"/>
                  <wp:docPr id="3" name="Picture 3"/>
                  <wp:cNvGraphicFramePr>
                    <a:graphicFrameLocks noChangeAspect="1"/>
                  </wp:cNvGraphicFramePr>
                  <a:graphic>
                    <a:graphicData uri="http://schemas.openxmlformats.org/drawingml/2006/picture">
                      <pic:pic>
                        <pic:nvPicPr>
                          <pic:cNvPr id="0" name="l1_3.png"/>
                          <pic:cNvPicPr/>
                        </pic:nvPicPr>
                        <pic:blipFill>
                          <a:blip r:embed="rId17"/>
                          <a:stretch>
                            <a:fillRect/>
                          </a:stretch>
                        </pic:blipFill>
                        <pic:spPr>
                          <a:xfrm>
                            <a:off x="0" y="0"/>
                            <a:ext cx="1908000" cy="1119913"/>
                          </a:xfrm>
                          <a:prstGeom prst="rect"/>
                        </pic:spPr>
                      </pic:pic>
                    </a:graphicData>
                  </a:graphic>
                </wp:inline>
              </w:drawing>
            </w:r>
          </w:p>
        </w:tc>
        <w:tc>
          <w:tcPr>
            <w:tcW w:type="dxa" w:w="4989"/>
          </w:tcPr>
          <w:p>
            <w:r>
              <w:rPr>
                <w:sz w:val="20"/>
              </w:rPr>
              <w:t>30–45 seconds  Show</w:t>
              <w:br/>
              <w:t>Point to the folded paper sample. Say: “I learnt to fix the tabs so the folds stand up.” Place the LEARNT card beside the join.</w:t>
            </w:r>
          </w:p>
        </w:tc>
      </w:tr>
    </w:tbl>
    <w:p>
      <w:pPr>
        <w:spacing w:after="140"/>
      </w:pPr>
      <w:r>
        <w:rPr>
          <w:b w:val="0"/>
          <w:sz w:val="8"/>
        </w:rPr>
      </w:r>
    </w:p>
    <w:tbl>
      <w:tblPr>
        <w:tblW w:type="auto" w:w="0"/>
        <w:tblLayout w:type="fixed"/>
        <w:tblLook w:firstColumn="1" w:firstRow="1" w:lastColumn="0" w:lastRow="0" w:noHBand="0" w:noVBand="1" w:val="04A0"/>
      </w:tblPr>
      <w:tblGrid>
        <w:gridCol w:w="3118"/>
        <w:gridCol w:w="6860"/>
      </w:tblGrid>
      <w:tr>
        <w:tc>
          <w:tcPr>
            <w:tcW w:type="dxa" w:w="4989"/>
          </w:tcPr>
          <w:p>
            <w:r>
              <w:drawing>
                <wp:inline xmlns:a="http://schemas.openxmlformats.org/drawingml/2006/main" xmlns:pic="http://schemas.openxmlformats.org/drawingml/2006/picture">
                  <wp:extent cx="1908000" cy="1119913"/>
                  <wp:docPr id="4" name="Picture 4"/>
                  <wp:cNvGraphicFramePr>
                    <a:graphicFrameLocks noChangeAspect="1"/>
                  </wp:cNvGraphicFramePr>
                  <a:graphic>
                    <a:graphicData uri="http://schemas.openxmlformats.org/drawingml/2006/picture">
                      <pic:pic>
                        <pic:nvPicPr>
                          <pic:cNvPr id="0" name="l1_4.png"/>
                          <pic:cNvPicPr/>
                        </pic:nvPicPr>
                        <pic:blipFill>
                          <a:blip r:embed="rId18"/>
                          <a:stretch>
                            <a:fillRect/>
                          </a:stretch>
                        </pic:blipFill>
                        <pic:spPr>
                          <a:xfrm>
                            <a:off x="0" y="0"/>
                            <a:ext cx="1908000" cy="1119913"/>
                          </a:xfrm>
                          <a:prstGeom prst="rect"/>
                        </pic:spPr>
                      </pic:pic>
                    </a:graphicData>
                  </a:graphic>
                </wp:inline>
              </w:drawing>
            </w:r>
          </w:p>
        </w:tc>
        <w:tc>
          <w:tcPr>
            <w:tcW w:type="dxa" w:w="4989"/>
          </w:tcPr>
          <w:p>
            <w:r>
              <w:rPr>
                <w:sz w:val="20"/>
              </w:rPr>
              <w:t>45–60 seconds  Plan</w:t>
              <w:br/>
              <w:t>Point to the audience and response-mode cards. Say: “I could show my work and use these words with one trusted adult.” Leave the event date unfilled until confirmed.</w:t>
            </w:r>
          </w:p>
        </w:tc>
      </w:tr>
    </w:tbl>
    <w:p>
      <w:pPr>
        <w:spacing w:after="140"/>
      </w:pPr>
      <w:r>
        <w:rPr>
          <w:b w:val="0"/>
          <w:sz w:val="8"/>
        </w:rPr>
      </w:r>
    </w:p>
    <w:p>
      <w:r>
        <w:br w:type="page"/>
      </w:r>
    </w:p>
    <w:p>
      <w:pPr>
        <w:pStyle w:val="Title"/>
        <w:spacing w:after="140"/>
      </w:pPr>
      <w:r>
        <w:rPr>
          <w:b w:val="0"/>
        </w:rPr>
        <w:t>Check and respond</w:t>
      </w:r>
    </w:p>
    <w:tbl>
      <w:tblPr>
        <w:tblW w:type="auto" w:w="0"/>
        <w:jc w:val="center"/>
        <w:tblLayout w:type="fixed"/>
        <w:tblLook w:firstColumn="1" w:firstRow="1" w:lastColumn="0" w:lastRow="0" w:noHBand="0" w:noVBand="1" w:val="04A0"/>
      </w:tblPr>
      <w:tblGrid>
        <w:gridCol w:w="3175"/>
        <w:gridCol w:w="6803"/>
      </w:tblGrid>
      <w:tr>
        <w:tc>
          <w:tcPr>
            <w:tcW w:type="dxa" w:w="3175"/>
            <w:tcBorders>
              <w:top w:val="single" w:sz="4" w:color="D9D9D9"/>
              <w:left w:val="single" w:sz="4" w:color="D9D9D9"/>
              <w:bottom w:val="single" w:sz="4" w:color="D9D9D9"/>
              <w:right w:val="single" w:sz="4" w:color="D9D9D9"/>
            </w:tcBorders>
            <w:shd w:fill="527E98"/>
          </w:tcPr>
          <w:p>
            <w:pPr>
              <w:spacing w:after="80" w:before="80"/>
            </w:pPr>
            <w:r>
              <w:rPr>
                <w:b/>
                <w:color w:val="FFFFFF"/>
                <w:sz w:val="18"/>
              </w:rPr>
              <w:t>Common mistake</w:t>
            </w:r>
          </w:p>
        </w:tc>
        <w:tc>
          <w:tcPr>
            <w:tcW w:type="dxa" w:w="6803"/>
            <w:tcBorders>
              <w:top w:val="single" w:sz="4" w:color="D9D9D9"/>
              <w:left w:val="single" w:sz="4" w:color="D9D9D9"/>
              <w:bottom w:val="single" w:sz="4" w:color="D9D9D9"/>
              <w:right w:val="single" w:sz="4" w:color="D9D9D9"/>
            </w:tcBorders>
            <w:shd w:fill="527E98"/>
          </w:tcPr>
          <w:p>
            <w:pPr>
              <w:spacing w:after="80" w:before="80"/>
            </w:pPr>
            <w:r>
              <w:rPr>
                <w:b/>
                <w:color w:val="FFFFFF"/>
                <w:sz w:val="18"/>
              </w:rPr>
              <w:t>What to do</w:t>
            </w:r>
          </w:p>
        </w:tc>
      </w:tr>
      <w:tr>
        <w:tc>
          <w:tcPr>
            <w:tcW w:type="dxa" w:w="3175"/>
            <w:tcBorders>
              <w:top w:val="single" w:sz="4" w:color="D9D9D9"/>
              <w:left w:val="single" w:sz="4" w:color="D9D9D9"/>
              <w:bottom w:val="single" w:sz="4" w:color="D9D9D9"/>
              <w:right w:val="single" w:sz="4" w:color="D9D9D9"/>
            </w:tcBorders>
            <w:shd w:fill="F2F5F6"/>
          </w:tcPr>
          <w:p>
            <w:pPr>
              <w:spacing w:after="80" w:before="80"/>
            </w:pPr>
            <w:r>
              <w:rPr>
                <w:b w:val="0"/>
                <w:color w:val="17263B"/>
                <w:sz w:val="18"/>
              </w:rPr>
              <w:t>The pupil only names an object</w:t>
            </w:r>
          </w:p>
        </w:tc>
        <w:tc>
          <w:tcPr>
            <w:tcW w:type="dxa" w:w="6803"/>
            <w:tcBorders>
              <w:top w:val="single" w:sz="4" w:color="D9D9D9"/>
              <w:left w:val="single" w:sz="4" w:color="D9D9D9"/>
              <w:bottom w:val="single" w:sz="4" w:color="D9D9D9"/>
              <w:right w:val="single" w:sz="4" w:color="D9D9D9"/>
            </w:tcBorders>
            <w:shd w:fill="F2F5F6"/>
          </w:tcPr>
          <w:p>
            <w:pPr>
              <w:spacing w:after="80" w:before="80"/>
            </w:pPr>
            <w:r>
              <w:rPr>
                <w:b w:val="0"/>
                <w:color w:val="17263B"/>
                <w:sz w:val="18"/>
              </w:rPr>
              <w:t>Ask: “Which part did you like, and why?” Then ask what they learnt or achieved. A title alone does not communicate both.</w:t>
            </w:r>
          </w:p>
        </w:tc>
      </w:tr>
      <w:tr>
        <w:tc>
          <w:tcPr>
            <w:tcW w:type="dxa" w:w="3175"/>
            <w:tcBorders>
              <w:top w:val="single" w:sz="4" w:color="D9D9D9"/>
              <w:left w:val="single" w:sz="4" w:color="D9D9D9"/>
              <w:bottom w:val="single" w:sz="4" w:color="D9D9D9"/>
              <w:right w:val="single" w:sz="4" w:color="D9D9D9"/>
            </w:tcBorders>
            <w:shd w:fill="FFFFFF"/>
          </w:tcPr>
          <w:p>
            <w:pPr>
              <w:spacing w:after="80" w:before="80"/>
            </w:pPr>
            <w:r>
              <w:rPr>
                <w:b w:val="0"/>
                <w:color w:val="17263B"/>
                <w:sz w:val="18"/>
              </w:rPr>
              <w:t>An adult chooses the pupil’s view</w:t>
            </w:r>
          </w:p>
        </w:tc>
        <w:tc>
          <w:tcPr>
            <w:tcW w:type="dxa" w:w="6803"/>
            <w:tcBorders>
              <w:top w:val="single" w:sz="4" w:color="D9D9D9"/>
              <w:left w:val="single" w:sz="4" w:color="D9D9D9"/>
              <w:bottom w:val="single" w:sz="4" w:color="D9D9D9"/>
              <w:right w:val="single" w:sz="4" w:color="D9D9D9"/>
            </w:tcBorders>
            <w:shd w:fill="FFFFFF"/>
          </w:tcPr>
          <w:p>
            <w:pPr>
              <w:spacing w:after="80" w:before="80"/>
            </w:pPr>
            <w:r>
              <w:rPr>
                <w:b w:val="0"/>
                <w:color w:val="17263B"/>
                <w:sz w:val="18"/>
              </w:rPr>
              <w:t>Offer two real examples, wait, and ask for the pupil’s choice. Scribe exact words or confirmed choices and read them back. Do not supply a review.</w:t>
            </w:r>
          </w:p>
        </w:tc>
      </w:tr>
      <w:tr>
        <w:tc>
          <w:tcPr>
            <w:tcW w:type="dxa" w:w="3175"/>
            <w:tcBorders>
              <w:top w:val="single" w:sz="4" w:color="D9D9D9"/>
              <w:left w:val="single" w:sz="4" w:color="D9D9D9"/>
              <w:bottom w:val="single" w:sz="4" w:color="D9D9D9"/>
              <w:right w:val="single" w:sz="4" w:color="D9D9D9"/>
            </w:tcBorders>
            <w:shd w:fill="F2F5F6"/>
          </w:tcPr>
          <w:p>
            <w:pPr>
              <w:spacing w:after="80" w:before="80"/>
            </w:pPr>
            <w:r>
              <w:rPr>
                <w:b w:val="0"/>
                <w:color w:val="17263B"/>
                <w:sz w:val="18"/>
              </w:rPr>
              <w:t>A missing B experience is filled with a class model</w:t>
            </w:r>
          </w:p>
        </w:tc>
        <w:tc>
          <w:tcPr>
            <w:tcW w:type="dxa" w:w="6803"/>
            <w:tcBorders>
              <w:top w:val="single" w:sz="4" w:color="D9D9D9"/>
              <w:left w:val="single" w:sz="4" w:color="D9D9D9"/>
              <w:bottom w:val="single" w:sz="4" w:color="D9D9D9"/>
              <w:right w:val="single" w:sz="4" w:color="D9D9D9"/>
            </w:tcBorders>
            <w:shd w:fill="F2F5F6"/>
          </w:tcPr>
          <w:p>
            <w:pPr>
              <w:spacing w:after="80" w:before="80"/>
            </w:pPr>
            <w:r>
              <w:rPr>
                <w:b w:val="0"/>
                <w:color w:val="17263B"/>
                <w:sz w:val="18"/>
              </w:rPr>
              <w:t>Record the actual gap. Look back at available work without claiming an encounter. The model can explain the task but cannot become pupil evidence.</w:t>
            </w:r>
          </w:p>
        </w:tc>
      </w:tr>
    </w:tbl>
    <w:p>
      <w:pPr>
        <w:pStyle w:val="Heading2"/>
        <w:spacing w:after="140"/>
      </w:pPr>
      <w:r>
        <w:rPr>
          <w:b w:val="0"/>
        </w:rPr>
        <w:t>One question at the end</w:t>
      </w:r>
    </w:p>
    <w:p>
      <w:pPr>
        <w:spacing w:after="140"/>
      </w:pPr>
      <w:r>
        <w:rPr>
          <w:b/>
          <w:sz w:val="24"/>
        </w:rPr>
        <w:t>What did you enjoy, what did you learn, and where can you show it?</w:t>
      </w:r>
    </w:p>
    <w:p>
      <w:pPr>
        <w:pStyle w:val="Heading2"/>
        <w:spacing w:after="140"/>
      </w:pPr>
      <w:r>
        <w:rPr>
          <w:b w:val="0"/>
        </w:rPr>
        <w:t>Evidence and part check</w:t>
      </w:r>
    </w:p>
    <w:p>
      <w:pPr>
        <w:spacing w:after="140"/>
      </w:pPr>
      <w:r>
        <w:rPr>
          <w:b w:val="0"/>
          <w:sz w:val="20"/>
        </w:rPr>
        <w:t>Part D is a personal account of enjoyment and achievement chosen by looking back at A–C. Keep both elements, pupil authorship, the example/file/page and intended audience/mode on D page 1. It is preparation, not proof of the actual December share. Mark absent B or C evidence as a gap in the Evidence Index; do not invent it. The actual sharing record belongs at D page 3 when it happens.</w:t>
      </w:r>
    </w:p>
    <w:p>
      <w:pPr>
        <w:spacing w:after="140"/>
      </w:pPr>
      <w:r>
        <w:rPr>
          <w:b w:val="0"/>
          <w:sz w:val="20"/>
        </w:rPr>
        <w:t>Selected evidence: D_Share.pdf • page 1. Read scribed words back. Record actual support and the learner’s response to feedback. Upload selected individual evidence to the evidence app the same day, labelled ART-BUILD-A2-W07-P1.</w:t>
      </w:r>
    </w:p>
    <w:p>
      <w:pPr>
        <w:spacing w:after="140"/>
      </w:pPr>
      <w:r>
        <w:rPr>
          <w:b w:val="0"/>
          <w:sz w:val="20"/>
        </w:rPr>
        <w:t>Use Pass / Attempted / Not attempted for each whole part only when assessed against real evidence. The sequence guide holds the final audit. The carried W5 encounter guide remains UNCONFIRMED; W7 does not create a booking or fill missing B evidence.</w:t>
      </w:r>
    </w:p>
    <w:sectPr w:rsidR="00FC693F" w:rsidRPr="0006063C" w:rsidSect="00034616">
      <w:headerReference w:type="default" r:id="rId9"/>
      <w:footerReference w:type="default" r:id="rId10"/>
      <w:pgSz w:w="11906" w:h="16838"/>
      <w:pgMar w:top="2721" w:right="964" w:bottom="1020" w:left="964" w:header="397" w:footer="45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after="0"/>
    </w:pPr>
    <w:r>
      <w:rPr>
        <w:sz w:val="16"/>
      </w:rPr>
      <w:t xml:space="preserve">ART-BUILD-A2-W07-P1  •  Public  •  Issue 1  •  Page </w:t>
    </w:r>
    <w:fldSimple w:instr="PAGE"/>
    <w:r>
      <w:rPr>
        <w:sz w:val="15"/>
      </w:rPr>
      <w:br/>
      <w:t>Original teaching diagrams © Made by Matt 2026 • CC BY 4.0. Logo used by owner.</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20"/>
    </w:pPr>
    <w:r>
      <w:rPr>
        <w:sz w:val="17"/>
      </w:rPr>
      <w:t>Made by Matt   •   Creative Arts   •   BUILD / GROW</w:t>
    </w:r>
    <w:r>
      <w:t xml:space="preserve">     </w:t>
      <w:drawing>
        <wp:inline xmlns:a="http://schemas.openxmlformats.org/drawingml/2006/main" xmlns:pic="http://schemas.openxmlformats.org/drawingml/2006/picture">
          <wp:extent cx="288000" cy="288000"/>
          <wp:docPr id="1" name="Picture 1"/>
          <wp:cNvGraphicFramePr>
            <a:graphicFrameLocks noChangeAspect="1"/>
          </wp:cNvGraphicFramePr>
          <a:graphic>
            <a:graphicData uri="http://schemas.openxmlformats.org/drawingml/2006/picture">
              <pic:pic>
                <pic:nvPicPr>
                  <pic:cNvPr id="0" name="image1.jpg"/>
                  <pic:cNvPicPr/>
                </pic:nvPicPr>
                <pic:blipFill>
                  <a:blip r:embed="rId1"/>
                  <a:stretch>
                    <a:fillRect/>
                  </a:stretch>
                </pic:blipFill>
                <pic:spPr>
                  <a:xfrm>
                    <a:off x="0" y="0"/>
                    <a:ext cx="288000" cy="288000"/>
                  </a:xfrm>
                  <a:prstGeom prst="rect"/>
                </pic:spPr>
              </pic:pic>
            </a:graphicData>
          </a:graphic>
        </wp:inline>
      </w:drawing>
    </w:r>
  </w:p>
  <w:p>
    <w:pPr>
      <w:spacing w:after="40"/>
    </w:pPr>
    <w:r>
      <w:rPr>
        <w:sz w:val="17"/>
      </w:rPr>
      <w:t>ART-BUILD-A2-W07-P1  •  Public  •  Issue 1</w:t>
    </w:r>
  </w:p>
  <w:p>
    <w:pPr>
      <w:spacing w:after="0"/>
    </w:pPr>
    <w:r>
      <w:rPr>
        <w:sz w:val="17"/>
      </w:rPr>
      <w:t>Week 7: 14–18 December 2026   |   Date __________</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Liberation Sans" w:hAnsi="Liberation Sans"/>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100"/>
      <w:outlineLvl w:val="0"/>
    </w:pPr>
    <w:rPr>
      <w:rFonts w:asciiTheme="majorHAnsi" w:eastAsiaTheme="majorEastAsia" w:hAnsiTheme="majorHAnsi" w:cstheme="majorBidi" w:ascii="Liberation Sans" w:hAnsi="Liberation Sans"/>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160" w:after="100"/>
      <w:outlineLvl w:val="1"/>
    </w:pPr>
    <w:rPr>
      <w:rFonts w:asciiTheme="majorHAnsi" w:eastAsiaTheme="majorEastAsia" w:hAnsiTheme="majorHAnsi" w:cstheme="majorBidi" w:ascii="Liberation Sans" w:hAnsi="Liberation Sans"/>
      <w:b/>
      <w:bCs/>
      <w:color w:val="000000"/>
      <w:sz w:val="25"/>
      <w:szCs w:val="26"/>
    </w:rPr>
  </w:style>
  <w:style w:type="paragraph" w:styleId="Heading3">
    <w:name w:val="heading 3"/>
    <w:basedOn w:val="Normal"/>
    <w:next w:val="Normal"/>
    <w:link w:val="Heading3Char"/>
    <w:uiPriority w:val="9"/>
    <w:unhideWhenUsed/>
    <w:qFormat/>
    <w:rsid w:val="00FC693F"/>
    <w:pPr>
      <w:keepNext/>
      <w:keepLines/>
      <w:spacing w:before="160" w:after="100"/>
      <w:outlineLvl w:val="2"/>
    </w:pPr>
    <w:rPr>
      <w:rFonts w:asciiTheme="majorHAnsi" w:eastAsiaTheme="majorEastAsia" w:hAnsiTheme="majorHAnsi" w:cstheme="majorBidi" w:ascii="Liberation Sans" w:hAnsi="Liberation Sans"/>
      <w:b/>
      <w:bCs/>
      <w:color w:val="000000"/>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80" w:line="240" w:lineRule="auto"/>
      <w:contextualSpacing/>
    </w:pPr>
    <w:rPr>
      <w:rFonts w:asciiTheme="majorHAnsi" w:eastAsiaTheme="majorEastAsia" w:hAnsiTheme="majorHAnsi" w:cstheme="majorBidi" w:ascii="Liberation Sans" w:hAnsi="Liberation Sans"/>
      <w:color w:val="000000"/>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Choose what you will share</dc:title>
  <dc:subject>ART-BUILD-A2-W07-P1</dc:subject>
  <dc:creator/>
  <cp:keywords/>
  <dc:description/>
  <cp:lastModifiedBy/>
  <cp:revision>1</cp:revision>
  <dcterms:created xsi:type="dcterms:W3CDTF">2013-12-23T23:15:00Z</dcterms:created>
  <dcterms:modified xsi:type="dcterms:W3CDTF">2013-12-23T23:15:00Z</dcterms:modified>
  <cp:category/>
</cp:coreProperties>
</file>