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Art · LAUNCH · Autumn 2 · Week 1 · ART-LAUNCH-A2-W01 · Date 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6A4C86"/>
                <w:sz w:val="22"/>
                <w:lang w:val="en-GB"/>
              </w:rPr>
              <w:t>A review with evidence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describe a feature I can check. □ explain and qualify my judgement. □ recommend a work to an audience, with a reason.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 w:line="2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1" name="Picture 1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6A4C86"/>
                <w:sz w:val="26"/>
                <w:lang w:val="en-GB"/>
              </w:rPr>
              <w:t>Teacher and cover plan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6A4C86"/>
                <w:sz w:val="26"/>
                <w:lang w:val="en-GB"/>
              </w:rPr>
              <w:t>1. Lesson code, title and learning goal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ART-LAUNCH-A2-W01 · A review with evidence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I can support an arts review with evidence and recommend it to an audience.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6A4C86"/>
                <w:sz w:val="26"/>
                <w:lang w:val="en-GB"/>
              </w:rPr>
              <w:t>2. Kit, preparation and safety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Prepare two plain rectangular images before the lesson.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Show both throughout.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No names, logos or branding appear on them.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Prepare four category cards: Feature / Interpretation / Recommendation / Unsupported claim.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Prepare the four sentence cards printed in We do.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Provide two plain audience cards: Viewers who enjoy abstract images / Viewers seeking a detailed, lifelike portrait.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Read all cards aloud.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Offer large, high-contrast copies and a spoken description of each artwork.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Make a private adult-listener option available.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6A4C86"/>
                <w:sz w:val="26"/>
                <w:lang w:val="en-GB"/>
              </w:rPr>
              <w:t>3. Stage timeline and staff moves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11"/>
        <w:gridCol w:w="1247"/>
        <w:gridCol w:w="6633"/>
      </w:tblGrid>
      <w:tr>
        <w:tc>
          <w:tcPr>
            <w:tcW w:type="dxa" w:w="3364"/>
            <w:shd w:fill="E4EFF9"/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Stage / clock</w:t>
            </w:r>
          </w:p>
        </w:tc>
        <w:tc>
          <w:tcPr>
            <w:tcW w:type="dxa" w:w="3364"/>
            <w:shd w:fill="E4EFF9"/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Minutes</w:t>
            </w:r>
          </w:p>
        </w:tc>
        <w:tc>
          <w:tcPr>
            <w:tcW w:type="dxa" w:w="3364"/>
            <w:shd w:fill="E4EFF9"/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Staff move</w:t>
            </w:r>
          </w:p>
        </w:tc>
      </w:tr>
      <w:tr>
        <w:tc>
          <w:tcPr>
            <w:tcW w:type="dxa" w:w="2211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Arrival</w:t>
              <w:br/>
              <w:t>00 to 05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5</w:t>
            </w:r>
          </w:p>
        </w:tc>
        <w:tc>
          <w:tcPr>
            <w:tcW w:type="dxa" w:w="6633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Display Flow and Crossing with their titles.</w:t>
            </w:r>
          </w:p>
        </w:tc>
      </w:tr>
      <w:tr>
        <w:tc>
          <w:tcPr>
            <w:tcW w:type="dxa" w:w="2211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Starter</w:t>
              <w:br/>
              <w:t>05 to 08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</w:t>
            </w:r>
          </w:p>
        </w:tc>
        <w:tc>
          <w:tcPr>
            <w:tcW w:type="dxa" w:w="6633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Read both once.</w:t>
            </w:r>
          </w:p>
        </w:tc>
      </w:tr>
      <w:tr>
        <w:tc>
          <w:tcPr>
            <w:tcW w:type="dxa" w:w="2211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I do</w:t>
              <w:br/>
              <w:t>08 to 14 · KEEP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6</w:t>
            </w:r>
          </w:p>
        </w:tc>
        <w:tc>
          <w:tcPr>
            <w:tcW w:type="dxa" w:w="6633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Model a short practice review using the visible Flow image.</w:t>
            </w:r>
          </w:p>
        </w:tc>
      </w:tr>
      <w:tr>
        <w:tc>
          <w:tcPr>
            <w:tcW w:type="dxa" w:w="2211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We do</w:t>
              <w:br/>
              <w:t>14 to 22 · KEEP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8</w:t>
            </w:r>
          </w:p>
        </w:tc>
        <w:tc>
          <w:tcPr>
            <w:tcW w:type="dxa" w:w="6633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Give each pupil the four category choices or symbols.</w:t>
            </w:r>
          </w:p>
        </w:tc>
      </w:tr>
      <w:tr>
        <w:tc>
          <w:tcPr>
            <w:tcW w:type="dxa" w:w="2211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You do</w:t>
              <w:br/>
              <w:t>22 to 37 · KEEP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15</w:t>
            </w:r>
          </w:p>
        </w:tc>
        <w:tc>
          <w:tcPr>
            <w:tcW w:type="dxa" w:w="6633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All work here is CLASSROOM PRACTICE, using the fully specified mini-gallery.</w:t>
            </w:r>
          </w:p>
        </w:tc>
      </w:tr>
      <w:tr>
        <w:tc>
          <w:tcPr>
            <w:tcW w:type="dxa" w:w="2211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Exit ticket</w:t>
              <w:br/>
              <w:t>37 to 40 · KEEP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</w:t>
            </w:r>
          </w:p>
        </w:tc>
        <w:tc>
          <w:tcPr>
            <w:tcW w:type="dxa" w:w="6633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Use one tier.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Total: 40 minutes. KEEP marks the stages to retain if time is short.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Art · LAUNCH · Autumn 2 · Week 1 · ART-LAUNCH-A2-W01 · Date 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6A4C86"/>
                <w:sz w:val="22"/>
                <w:lang w:val="en-GB"/>
              </w:rPr>
              <w:t>A review with evidence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describe a feature I can check. □ explain and qualify my judgement. □ recommend a work to an audience, with a reason.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 w:line="2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2" name="Picture 2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6A4C86"/>
                <w:sz w:val="26"/>
                <w:lang w:val="en-GB"/>
              </w:rPr>
              <w:t>Teacher and cover plan · continued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6A4C86"/>
                <w:sz w:val="26"/>
                <w:lang w:val="en-GB"/>
              </w:rPr>
              <w:t>4. Key answers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tcMar>
              <w:top w:w="55" w:type="dxa"/>
              <w:left w:w="65" w:type="dxa"/>
              <w:bottom w:w="55" w:type="dxa"/>
              <w:right w:w="65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4EFF9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Supported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Arrival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1. Orange.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2. Straight; the strips run diagonally.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3. Three bands; “best” is a judgement.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4. People viewing the art.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Exit ticket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1. Accurately locate a feature used in the review.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2. A possible effect, needing feature support; not a colour.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3. A fitting audience and feature-based reason; no prescribed audience.</w:t>
            </w:r>
          </w:p>
        </w:tc>
        <w:tc>
          <w:tcPr>
            <w:tcW w:type="dxa" w:w="3364"/>
            <w:tcMar>
              <w:top w:w="55" w:type="dxa"/>
              <w:left w:w="65" w:type="dxa"/>
              <w:bottom w:w="55" w:type="dxa"/>
              <w:right w:w="65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4EFF9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Standard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Arrival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1. For example, the small orange circle above Flow’s curved bands.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2. Flow: curved bands. Crossing: straight diagonal strips.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3. The cropped circle is checkable; “exciting” needs supporting reasons.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4. To explain who might value the work and why.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Exit ticket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1. Accurate feature with a clear link to the judgement.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2. A plausible alternative or real limit; no invented fault required.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3. A specific audience linked to a feature or experience.</w:t>
            </w:r>
          </w:p>
        </w:tc>
        <w:tc>
          <w:tcPr>
            <w:tcW w:type="dxa" w:w="3364"/>
            <w:tcMar>
              <w:top w:w="55" w:type="dxa"/>
              <w:left w:w="65" w:type="dxa"/>
              <w:bottom w:w="55" w:type="dxa"/>
              <w:right w:w="65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4EFF9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Stretch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Arrival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1. For example, orange/blue contrast could draw attention; alternatives need features.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2. Curves may suggest flow; diagonals tension. Cite each work’s feature.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3. No; shapes do not prove the maker’s feelings or intention.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4. Name an audience and link the recommendation to a feature.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Exit ticket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1. A located feature supports discussion; “good” provides no evidence or criterion.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2. Interpretation does not establish intention; reliable contextual evidence is needed.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3. A fair limit linked to interests; do not assume group taste.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Main check: 1 Feature; 2 Interpretation; 3 Recommendation, supported by a feature; 4 Unsupported claim.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6A4C86"/>
                <w:sz w:val="26"/>
                <w:lang w:val="en-GB"/>
              </w:rPr>
              <w:t>5. Tiers and routes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Choose one Arrival and Exit tier: Supported, Standard or Stretch. Choose one You do route: Independent, Supported, Choice or Aspire. Staff mark I, S or C beside the response for actual independence, support or choice; Aspire is not automatic I.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6A4C86"/>
                <w:sz w:val="26"/>
                <w:lang w:val="en-GB"/>
              </w:rPr>
              <w:t>6. Same-day evidence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The assigned adult records the artwork, exact review or selected evidence, response mode and actual support. File a book item, before-and-after photo of the upgraded claim or brief observation in the evidence app the same day, labelled ART-LAUNCH-A2-W01. Record how the listener received and checked the pupil’s meaning. A photo alone does not establish reasoning.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6A4C86"/>
                <w:sz w:val="26"/>
                <w:lang w:val="en-GB"/>
              </w:rPr>
              <w:t>7. Keep if time runs short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Keep the feature-to-judgement model, one guided classification, the pupil's evidence-based review and listener check, and the three brief Exit checks. Shorten extra comparison writing; preserve a checked or revised claim.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6A4C86"/>
                <w:sz w:val="26"/>
                <w:lang w:val="en-GB"/>
              </w:rPr>
              <w:t>8. No cold calling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No cold calling; nobody is asked to read difficult text aloud.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4"/>
        <w:gridCol w:w="9638"/>
      </w:tblGrid>
      <w:tr>
        <w:tc>
          <w:tcPr>
            <w:tcW w:type="dxa" w:w="45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6A4C86"/>
                <w:sz w:val="26"/>
                <w:lang w:val="en-GB"/>
              </w:rPr>
              <w:t>9.</w:t>
            </w:r>
          </w:p>
        </w:tc>
        <w:tc>
          <w:tcPr>
            <w:tcW w:type="dxa" w:w="9638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6A4C86"/>
                <w:sz w:val="26"/>
                <w:lang w:val="en-GB"/>
              </w:rPr>
              <w:t>Prompt ladder for adults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1. Point to the relevant place / instruction.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2. Ask one short question: "What is it asking you to find?"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3. Rephrase the instruction in simpler language.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4. Provide a scaffold or limited choice.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5. Model the first step only, then return the task to the pupil.</w:t>
      </w:r>
    </w:p>
    <w:sectPr w:rsidR="00FC693F" w:rsidRPr="0006063C" w:rsidSect="00034616">
      <w:footerReference w:type="default" r:id="rId9"/>
      <w:pgSz w:w="11906" w:h="16838"/>
      <w:pgMar w:top="737" w:right="907" w:bottom="794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45" w:lineRule="auto"/>
      <w:jc w:val="center"/>
    </w:pPr>
    <w:r>
      <w:rPr>
        <w:rFonts w:ascii="Arial" w:hAnsi="Arial" w:cs="Arial" w:eastAsia="Arial"/>
        <w:b w:val="0"/>
        <w:color w:val="243746"/>
        <w:sz w:val="16"/>
        <w:lang w:val="en-GB"/>
      </w:rPr>
      <w:t>Made from the web lesson ART-LAUNCH-A2-W01 · version ______</w:t>
    </w:r>
  </w:p>
  <w:p>
    <w:pPr>
      <w:spacing w:before="0" w:after="0" w:line="245" w:lineRule="auto"/>
      <w:jc w:val="center"/>
    </w:pPr>
    <w:r>
      <w:rPr>
        <w:rFonts w:ascii="Arial" w:hAnsi="Arial" w:cs="Arial" w:eastAsia="Arial"/>
        <w:b w:val="0"/>
        <w:color w:val="243746"/>
        <w:sz w:val="13"/>
        <w:lang w:val="en-GB"/>
      </w:rPr>
      <w:t>Made by Matt · madebymatt.uk · © Matt Roper · CC BY-NC-SA 4.0: free for classroom use, share and adapt with credit, no resale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Arial" w:hAnsi="Arial" w:cs="Arial" w:eastAsia="Arial"/>
      <w:color w:val="24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 w:eastAsia="Arial"/>
      <w:color w:val="243746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cs="Arial" w:eastAsia="Arial"/>
      <w:color w:val="243746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 w:eastAsia="Arial"/>
      <w:color w:val="243746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cs="Arial" w:eastAsia="Arial"/>
      <w:color w:val="243746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24374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24374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24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24374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746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746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243746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243746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243746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cs="Arial" w:eastAsia="Arial"/>
      <w:color w:val="243746"/>
      <w:sz w:val="22"/>
    </w:rPr>
  </w:style>
  <w:style w:type="table" w:default="1" w:styleId="TableNormal">
    <w:name w:val="Normal Table"/>
    <w:uiPriority w:val="99"/>
    <w:semiHidden/>
    <w:unhideWhenUsed/>
    <w:rPr>
      <w:rFonts w:ascii="Arial" w:hAnsi="Arial" w:cs="Arial" w:eastAsia="Arial"/>
      <w:color w:val="243746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243746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243746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243746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b/>
      <w:color w:val="243746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243746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24374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243746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cs="Arial" w:eastAsia="Arial"/>
      <w:color w:val="243746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cs="Arial" w:eastAsia="Arial"/>
      <w:color w:val="243746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cs="Arial" w:eastAsia="Arial"/>
      <w:color w:val="243746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cs="Arial" w:eastAsia="Arial"/>
      <w:color w:val="243746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cs="Arial" w:eastAsia="Arial"/>
      <w:color w:val="243746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cs="Arial" w:eastAsia="Arial"/>
      <w:color w:val="243746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cs="Arial" w:eastAsia="Arial"/>
      <w:color w:val="243746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cs="Arial" w:eastAsia="Arial"/>
      <w:color w:val="243746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cs="Arial" w:eastAsia="Arial"/>
      <w:color w:val="243746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cs="Arial" w:eastAsia="Arial"/>
      <w:color w:val="243746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cs="Arial" w:eastAsia="Arial"/>
      <w:color w:val="243746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cs="Arial" w:eastAsia="Arial"/>
      <w:color w:val="243746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cs="Arial" w:eastAsia="Arial"/>
      <w:color w:val="243746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color w:val="243746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color w:val="243746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cs="Arial" w:eastAsia="Arial"/>
      <w:i/>
      <w:iCs/>
      <w:color w:val="243746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cs="Arial" w:eastAsia="Arial"/>
      <w:i/>
      <w:iCs/>
      <w:color w:val="243746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243746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746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74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24374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243746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243746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/>
      <w:bCs/>
      <w:color w:val="243746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cs="Arial" w:eastAsia="Arial"/>
      <w:b/>
      <w:bCs/>
      <w:color w:val="243746"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cs="Arial" w:eastAsia="Arial"/>
      <w:i/>
      <w:iCs/>
      <w:color w:val="243746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cs="Arial" w:eastAsia="Arial"/>
      <w:b/>
      <w:bCs/>
      <w:i/>
      <w:iCs/>
      <w:color w:val="243746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cs="Arial" w:eastAsia="Arial"/>
      <w:b/>
      <w:bCs/>
      <w:i/>
      <w:iCs/>
      <w:color w:val="243746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cs="Arial" w:eastAsia="Arial"/>
      <w:i/>
      <w:iCs/>
      <w:color w:val="243746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cs="Arial" w:eastAsia="Arial"/>
      <w:b/>
      <w:bCs/>
      <w:i/>
      <w:iCs/>
      <w:color w:val="243746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cs="Arial" w:eastAsia="Arial"/>
      <w:smallCaps/>
      <w:color w:val="243746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cs="Arial" w:eastAsia="Arial"/>
      <w:b/>
      <w:bCs/>
      <w:smallCaps/>
      <w:color w:val="243746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cs="Arial" w:eastAsia="Arial"/>
      <w:b/>
      <w:bCs/>
      <w:smallCaps/>
      <w:color w:val="243746"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cs="Arial" w:eastAsia="Arial"/>
      <w:color w:val="243746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  <a:font script="Jpan" typeface="Arial"/>
        <a:font script="Hang" typeface="Arial"/>
        <a:font script="Hans" typeface="Arial"/>
        <a:font script="Hant" typeface="Arial"/>
        <a:font script="Arab" typeface="Arial"/>
        <a:font script="Hebr" typeface="Arial"/>
        <a:font script="Thai" typeface="Arial"/>
        <a:font script="Ethi" typeface="Arial"/>
        <a:font script="Beng" typeface="Arial"/>
        <a:font script="Gujr" typeface="Arial"/>
        <a:font script="Khmr" typeface="Arial"/>
        <a:font script="Knda" typeface="Arial"/>
        <a:font script="Guru" typeface="Arial"/>
        <a:font script="Cans" typeface="Arial"/>
        <a:font script="Cher" typeface="Arial"/>
        <a:font script="Yiii" typeface="Arial"/>
        <a:font script="Tibt" typeface="Arial"/>
        <a:font script="Thaa" typeface="Arial"/>
        <a:font script="Deva" typeface="Arial"/>
        <a:font script="Telu" typeface="Arial"/>
        <a:font script="Taml" typeface="Arial"/>
        <a:font script="Syrc" typeface="Arial"/>
        <a:font script="Orya" typeface="Arial"/>
        <a:font script="Mlym" typeface="Arial"/>
        <a:font script="Laoo" typeface="Arial"/>
        <a:font script="Sinh" typeface="Arial"/>
        <a:font script="Mong" typeface="Arial"/>
        <a:font script="Viet" typeface="Arial"/>
        <a:font script="Uigh" typeface="Arial"/>
        <a:font script="Geor" typeface="Arial"/>
      </a:majorFont>
      <a:minorFont>
        <a:latin typeface="Arial"/>
        <a:ea typeface="Arial"/>
        <a:cs typeface="Arial"/>
        <a:font script="Jpan" typeface="Arial"/>
        <a:font script="Hang" typeface="Arial"/>
        <a:font script="Hans" typeface="Arial"/>
        <a:font script="Hant" typeface="Arial"/>
        <a:font script="Arab" typeface="Arial"/>
        <a:font script="Hebr" typeface="Arial"/>
        <a:font script="Thai" typeface="Arial"/>
        <a:font script="Ethi" typeface="Arial"/>
        <a:font script="Beng" typeface="Arial"/>
        <a:font script="Gujr" typeface="Arial"/>
        <a:font script="Khmr" typeface="Arial"/>
        <a:font script="Knda" typeface="Arial"/>
        <a:font script="Guru" typeface="Arial"/>
        <a:font script="Cans" typeface="Arial"/>
        <a:font script="Cher" typeface="Arial"/>
        <a:font script="Yiii" typeface="Arial"/>
        <a:font script="Tibt" typeface="Arial"/>
        <a:font script="Thaa" typeface="Arial"/>
        <a:font script="Deva" typeface="Arial"/>
        <a:font script="Telu" typeface="Arial"/>
        <a:font script="Taml" typeface="Arial"/>
        <a:font script="Syrc" typeface="Arial"/>
        <a:font script="Orya" typeface="Arial"/>
        <a:font script="Mlym" typeface="Arial"/>
        <a:font script="Laoo" typeface="Arial"/>
        <a:font script="Sinh" typeface="Arial"/>
        <a:font script="Mong" typeface="Arial"/>
        <a:font script="Viet" typeface="Arial"/>
        <a:font script="Uigh" typeface="Arial"/>
        <a:font script="Geor" typeface="Arial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review with evidence</dc:title>
  <dc:subject>ART-LAUNCH-A2-W01</dc:subject>
  <dc:language>en-GB</dc:language>
</cp:coreProperties>
</file>