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Town Grows Fast</w:t>
      </w:r>
    </w:p>
    <w:p>
      <w:pPr>
        <w:pStyle w:val="Subtitle"/>
      </w:pPr>
      <w:r>
        <w:t>BUILD · Humanities · 40 minutes</w:t>
      </w:r>
    </w:p>
    <w:p>
      <w:r>
        <w:t>I can use dated evidence to explain town growth without claiming the data tells the whole story.</w:t>
      </w:r>
    </w:p>
    <w:p>
      <w:r>
        <w:t>Name: __________________________    Date: ______________</w:t>
      </w:r>
    </w:p>
    <w:p>
      <w:r>
        <w:t>You may write, type, say, sign, point or direct a partner. An adult can read the words and record your exact response. Keep the choice and explanation your own.</w:t>
      </w:r>
    </w:p>
    <w:p>
      <w:pPr>
        <w:pStyle w:val="Heading2"/>
      </w:pPr>
      <w:r>
        <w:t>We do · make a choice and give a reason</w:t>
      </w:r>
    </w:p>
    <w:p>
      <w:pPr/>
      <w:r>
        <w:t>Commit before reveal: What do the rounded population endpoints establish?</w:t>
      </w:r>
    </w:p>
    <w:p>
      <w:pPr>
        <w:pStyle w:val="ListBullet"/>
      </w:pPr>
      <w:r>
        <w:t>The settlement became much larger; other sources are needed to explain why and how people lived</w:t>
      </w:r>
    </w:p>
    <w:p>
      <w:pPr>
        <w:pStyle w:val="ListBullet"/>
      </w:pPr>
      <w:r>
        <w:t>Every resident worked in iron</w:t>
      </w:r>
    </w:p>
    <w:p>
      <w:pPr>
        <w:pStyle w:val="ListBullet"/>
      </w:pPr>
      <w:r>
        <w:t>Everyone had a good home</w:t>
      </w:r>
    </w:p>
    <w:p>
      <w:pPr>
        <w:keepNext/>
      </w:pPr>
      <w:r>
        <w:t>My choice and the evidence I used:</w:t>
      </w:r>
    </w:p>
    <w:p>
      <w:pPr>
        <w:keepNext/>
        <w:spacing w:after="0" w:line="240" w:lineRule="auto"/>
        <w:pBdr>
          <w:bottom w:val="single" w:sz="3" w:color="D6DFE4" w:space="1"/>
        </w:pBdr>
      </w:pPr>
      <w:r>
        <w:rPr>
          <w:sz w:val="40"/>
        </w:rPr>
        <w:t xml:space="preserve"> </w:t>
      </w:r>
    </w:p>
    <w:p>
      <w:pPr>
        <w:keepNext w:val="0"/>
        <w:spacing w:after="0" w:line="240" w:lineRule="auto"/>
        <w:pBdr>
          <w:bottom w:val="single" w:sz="3" w:color="D6DFE4" w:space="1"/>
        </w:pBdr>
      </w:pPr>
      <w:r>
        <w:rPr>
          <w:sz w:val="40"/>
        </w:rPr>
        <w:t xml:space="preserve"> </w:t>
      </w:r>
    </w:p>
    <w:p>
      <w:pPr>
        <w:pStyle w:val="Heading1"/>
        <w:pageBreakBefore/>
      </w:pPr>
      <w:r>
        <w:t>Resources and independent record</w:t>
      </w:r>
    </w:p>
    <w:p>
      <w:pPr>
        <w:pStyle w:val="Heading2"/>
      </w:pPr>
      <w:r>
        <w:t>BUILD Humanities · W12 · A Town Grows Fast</w:t>
      </w:r>
    </w:p>
    <w:p>
      <w:pPr/>
      <w:r>
        <w:t>Enquiry: How did port, rail and iron help Middlesbrough grow so fast?</w:t>
      </w:r>
    </w:p>
    <w:p>
      <w:pPr/>
      <w:r>
        <w:t>Learning objective: I can use dated evidence to explain town growth without claiming the data tells the whole story.</w:t>
      </w:r>
    </w:p>
    <w:p>
      <w:pPr/>
      <w:r>
        <w:t>Inherited: Week 11 iron chain and the 1850 trigger.</w:t>
      </w:r>
    </w:p>
    <w:p>
      <w:pPr/>
      <w:r>
        <w:t>CONSTRUCTED TEACHING SOURCE — created for classroom practice. It is not an archival original.</w:t>
      </w:r>
    </w:p>
    <w:p>
      <w:pPr>
        <w:pStyle w:val="Heading2"/>
      </w:pPr>
      <w:r>
        <w:t>Independent Humanities mission</w:t>
      </w:r>
    </w:p>
    <w:p>
      <w:pPr/>
      <w:r>
        <w:t>Dated growth sequence, two driver–indicator links and a stated limitation of rounded population evidence.</w:t>
      </w:r>
    </w:p>
    <w:p>
      <w:pPr/>
      <w:r>
        <w:t>Evidence target: Dated growth sequence, two driver–indicator links and a stated limitation of rounded population evidence.</w:t>
      </w:r>
    </w:p>
    <w:p>
      <w:pPr>
        <w:pStyle w:val="Heading2"/>
      </w:pPr>
      <w:r>
        <w:t>Supported</w:t>
      </w:r>
    </w:p>
    <w:p>
      <w:pPr/>
      <w:r>
        <w:t>Order four milestones and join one driver to one growth sign.</w:t>
      </w:r>
    </w:p>
    <w:p>
      <w:pPr/>
      <w:r>
        <w:t>Evidence: Date strip plus one link.</w:t>
      </w:r>
    </w:p>
    <w:p>
      <w:pPr/>
      <w:r>
        <w:t>Scaffold: ___ helped the town grow because ___.</w:t>
      </w:r>
    </w:p>
    <w:p>
      <w:pPr>
        <w:pStyle w:val="Heading2"/>
      </w:pPr>
      <w:r>
        <w:t>Standard</w:t>
      </w:r>
    </w:p>
    <w:p>
      <w:pPr/>
      <w:r>
        <w:t>Build a web with two drivers, two signs and one consequence question.</w:t>
      </w:r>
    </w:p>
    <w:p>
      <w:pPr/>
      <w:r>
        <w:t>Evidence: Evidence web.</w:t>
      </w:r>
    </w:p>
    <w:p>
      <w:pPr/>
      <w:r>
        <w:t>Scaffold: ___ linked with ___, so ___.</w:t>
      </w:r>
    </w:p>
    <w:p>
      <w:pPr>
        <w:pStyle w:val="Heading2"/>
      </w:pPr>
      <w:r>
        <w:t>Stretch</w:t>
      </w:r>
    </w:p>
    <w:p>
      <w:pPr/>
      <w:r>
        <w:t>Rank the strongest driver, counter it with another and add a data limit.</w:t>
      </w:r>
    </w:p>
    <w:p>
      <w:pPr/>
      <w:r>
        <w:t>Evidence: Judgement plus limitation.</w:t>
      </w:r>
    </w:p>
    <w:p>
      <w:pPr/>
      <w:r>
        <w:t>Scaffold: Most important was ___ because ___. However ___. The data cannot show ___.</w:t>
      </w:r>
    </w:p>
    <w:p>
      <w:pPr>
        <w:pStyle w:val="Heading2"/>
      </w:pPr>
      <w:r>
        <w:t>Source/material record</w:t>
      </w:r>
    </w:p>
    <w:p>
      <w:pPr/>
      <w:r>
        <w:t>Teacher-prepared constructed lab cards plus the locally approved source cards named for this lesson.</w:t>
      </w:r>
    </w:p>
    <w:p>
      <w:pPr>
        <w:pStyle w:val="Heading2"/>
      </w:pPr>
      <w:r>
        <w:t>Historian/geographer response &amp; Influence</w:t>
      </w:r>
    </w:p>
    <w:p>
      <w:pPr>
        <w:keepNext/>
      </w:pPr>
      <w:r>
        <w:t>Pupil Humanities decision:</w:t>
      </w:r>
    </w:p>
    <w:p>
      <w:pPr>
        <w:keepNext/>
        <w:spacing w:after="0" w:line="240" w:lineRule="auto"/>
        <w:pBdr>
          <w:bottom w:val="single" w:sz="3" w:color="D6DFE4" w:space="1"/>
        </w:pBdr>
      </w:pPr>
      <w:r>
        <w:rPr>
          <w:sz w:val="40"/>
        </w:rPr>
        <w:t xml:space="preserve"> </w:t>
      </w:r>
    </w:p>
    <w:p>
      <w:pPr>
        <w:keepNext w:val="0"/>
        <w:spacing w:after="0" w:line="240" w:lineRule="auto"/>
        <w:pBdr>
          <w:bottom w:val="single" w:sz="3" w:color="D6DFE4" w:space="1"/>
        </w:pBdr>
      </w:pPr>
      <w:r>
        <w:rPr>
          <w:sz w:val="40"/>
        </w:rPr>
        <w:t xml:space="preserve"> </w:t>
      </w:r>
    </w:p>
    <w:p>
      <w:pPr/>
      <w:r>
        <w:t>Evidence or representation used:</w:t>
      </w:r>
    </w:p>
    <w:p>
      <w:pPr/>
      <w:r>
        <w:t>Reasoning, limitation or uncertainty:</w:t>
      </w:r>
    </w:p>
    <w:p>
      <w:pPr/>
      <w:r>
        <w:t>Audience genuinely received: describe through the agreed school workflow; no signature is required here.</w:t>
      </w:r>
    </w:p>
    <w:p>
      <w:pPr/>
      <w:r>
        <w:t>Influence: The named class teacher honours the chosen bridge order and runs a driver/sign re-sort first if the evidence shows it is needed.</w:t>
      </w:r>
    </w:p>
    <w:p>
      <w:pPr/>
      <w:r>
        <w:t>Decision maker: Class teacher — replace with the adult’s name before delivery.</w:t>
      </w:r>
    </w:p>
    <w:p>
      <w:pPr/>
      <w:r>
        <w:t>Report back by: Start of Week 13 — add the calendar date before delivery.</w:t>
      </w:r>
    </w:p>
    <w:p>
      <w:pPr>
        <w:pStyle w:val="Heading2"/>
      </w:pPr>
      <w:r>
        <w:t>Learner source cards</w:t>
      </w:r>
    </w:p>
    <w:p>
      <w:pPr/>
      <w:r>
        <w:t>ADAPTED SOURCE CARD</w:t>
      </w:r>
    </w:p>
    <w:p>
      <w:pPr>
        <w:pStyle w:val="Heading2"/>
      </w:pPr>
      <w:r>
        <w:t>HUM-B-W12-C01 · From small farming community to planned town</w:t>
      </w:r>
    </w:p>
    <w:p>
      <w:pPr/>
      <w:r>
        <w:t>Provenance source: HUM-B-W12-S01</w:t>
      </w:r>
    </w:p>
    <w:p>
      <w:pPr/>
      <w:r>
        <w:t>Middlesbrough Council records 25 people in the farming community in 1801. In 1828 the estate owners bought land and planned a port and grid-pattern town; the railway branch and port followed within the 1828–30 development sequence.</w:t>
      </w:r>
    </w:p>
    <w:p>
      <w:pPr/>
      <w:r>
        <w:t>Can establish Supports selected population, planning and development milestones.</w:t>
      </w:r>
    </w:p>
    <w:p>
      <w:pPr/>
      <w:r>
        <w:t>Cannot establish Show individual motives, feelings, housing quality or one uncontested birthday for the town.</w:t>
      </w:r>
    </w:p>
    <w:p>
      <w:pPr/>
      <w:r>
        <w:t>Accessible route Date strip: 1801 — 25 people; 1828 — estate and plan; 1828–30 — town, port and railway development sequence; 1850 — ironstone accelerated growth.</w:t>
      </w:r>
    </w:p>
    <w:p>
      <w:pPr/>
      <w:r>
        <w:t>ADAPTED OFFICIAL-SYNTHESIS CARD</w:t>
      </w:r>
    </w:p>
    <w:p>
      <w:pPr>
        <w:pStyle w:val="Heading2"/>
      </w:pPr>
      <w:r>
        <w:t>HUM-B-W12-C02 · Rounded population endpoints</w:t>
      </w:r>
    </w:p>
    <w:p>
      <w:pPr/>
      <w:r>
        <w:t>Provenance source: HUM-B-W12-S02</w:t>
      </w:r>
    </w:p>
    <w:p>
      <w:pPr/>
      <w:r>
        <w:t>Historic England describes growth from around 25 people in 1801 to over 90,000 by the end of the nineteenth century. The words ‘around’ and ‘over’ matter, and changing boundaries mean this is not a perfect like-for-like count.</w:t>
      </w:r>
    </w:p>
    <w:p>
      <w:pPr/>
      <w:r>
        <w:t>Can establish Establish that Middlesbrough became dramatically larger.</w:t>
      </w:r>
    </w:p>
    <w:p>
      <w:pPr/>
      <w:r>
        <w:t>Cannot establish By itself explain the causes of growth or how people lived.</w:t>
      </w:r>
    </w:p>
    <w:p>
      <w:pPr/>
      <w:r>
        <w:t>Accessible route Two large-number tiles: 1801 — around 25; end of nineteenth century — over 90,000.</w:t>
      </w:r>
    </w:p>
    <w:p>
      <w:pPr>
        <w:pStyle w:val="Heading2"/>
      </w:pPr>
      <w:r>
        <w:t>Source provenance</w:t>
      </w:r>
    </w:p>
    <w:p>
      <w:pPr/>
      <w:r>
        <w:t>HUM-B-W12-S01 · Old Town Hall History Maker: Middlesbrough Council · Date: Page last updated 19 August 2026 Origin: Middlesbrough Council heritage chronology Rights/use: All rights reserved. Factual points restated in wholly original wording; no council map, photograph or extended text reproduced. Access: Before/after card: 1801—small farming community; later 1800s—rapidly growing planned town.</w:t>
      </w:r>
    </w:p>
    <w:p>
      <w:pPr/>
      <w:r>
        <w:t>HUM-B-W12-S02 · 11 and 13 Zetland Road — entry 1137392 Maker: Historic England · Date: Entry amended 5 March 2024 Origin: National Heritage List for England; Historic England Rights/use: List-entry text OGL v3.0 with Historic England attribution. Embedded OS map and photographs excluded. Access: Two population counters labelled ‘around 25’ and ‘over 90,000’, with text alternative.</w:t>
      </w:r>
    </w:p>
    <w:p>
      <w:pPr/>
      <w:r>
        <w:t>Print surface requires physical classroom checking before live use.</w:t>
      </w:r>
    </w:p>
    <w:p>
      <w:pPr>
        <w:pStyle w:val="Heading1"/>
        <w:pageBreakBefore/>
      </w:pPr>
      <w:r>
        <w:t>Paper route · discuss the lesson choices</w:t>
      </w:r>
    </w:p>
    <w:p>
      <w:r>
        <w:t>Use these choices with the matching teaching stage. Point to or number a choice, explain it, then revisit it after feedback. The original HTML keeps the live controls.</w:t>
      </w:r>
    </w:p>
    <w:p>
      <w:pPr>
        <w:pStyle w:val="ListBullet"/>
      </w:pPr>
      <w:r>
        <w:t>1861: about 19,000 people</w:t>
      </w:r>
    </w:p>
    <w:p>
      <w:pPr>
        <w:pStyle w:val="ListBullet"/>
      </w:pPr>
      <w:r>
        <w:t>1830: coal port opens, a few hundred people</w:t>
      </w:r>
    </w:p>
    <w:p>
      <w:pPr>
        <w:pStyle w:val="ListBullet"/>
      </w:pPr>
      <w:r>
        <w:t>1901: over 91,000 people</w:t>
      </w:r>
    </w:p>
    <w:p>
      <w:pPr>
        <w:pStyle w:val="ListBullet"/>
      </w:pPr>
      <w:r>
        <w:t>1841: about 5,500 people</w:t>
      </w:r>
    </w:p>
    <w:p>
      <w:pPr>
        <w:pStyle w:val="ListBullet"/>
      </w:pPr>
      <w:r>
        <w:t>iron → houses</w:t>
      </w:r>
    </w:p>
    <w:p>
      <w:pPr>
        <w:pStyle w:val="ListBullet"/>
      </w:pPr>
      <w:r>
        <w:t>people → shops</w:t>
      </w:r>
    </w:p>
    <w:p>
      <w:pPr>
        <w:pStyle w:val="ListBullet"/>
      </w:pPr>
      <w:r>
        <w:t>work → transport</w:t>
      </w:r>
    </w:p>
    <w:p>
      <w:pPr>
        <w:pStyle w:val="ListBullet"/>
      </w:pPr>
      <w:r>
        <w:t>What evidence is missing?</w:t>
      </w:r>
    </w:p>
    <w:p>
      <w:pPr>
        <w:pStyle w:val="ListBullet"/>
      </w:pPr>
      <w:r>
        <w:t>event 1801 — around 25 people</w:t>
      </w:r>
    </w:p>
    <w:p>
      <w:pPr>
        <w:pStyle w:val="ListBullet"/>
      </w:pPr>
      <w:r>
        <w:t>event 1828–30 — port, town and railway sequence</w:t>
      </w:r>
    </w:p>
    <w:p>
      <w:pPr>
        <w:pStyle w:val="ListBullet"/>
      </w:pPr>
      <w:r>
        <w:t>event 1850 — Eston ironstone</w:t>
      </w:r>
    </w:p>
    <w:p>
      <w:pPr>
        <w:pStyle w:val="ListBullet"/>
      </w:pPr>
      <w:r>
        <w:t>event Late 1800s — over 90,000 people</w:t>
      </w:r>
    </w:p>
    <w:p>
      <w:pPr>
        <w:pStyle w:val="ListBullet"/>
      </w:pPr>
      <w:r>
        <w:t>DRIVER port</w:t>
      </w:r>
    </w:p>
    <w:p>
      <w:pPr>
        <w:pStyle w:val="ListBullet"/>
      </w:pPr>
      <w:r>
        <w:t>DRIVER rail</w:t>
      </w:r>
    </w:p>
    <w:p>
      <w:pPr>
        <w:pStyle w:val="ListBullet"/>
      </w:pPr>
      <w:r>
        <w:t>DRIVER ironstone</w:t>
      </w:r>
    </w:p>
    <w:p>
      <w:pPr>
        <w:pStyle w:val="ListBullet"/>
      </w:pPr>
      <w:r>
        <w:t>DRIVER works</w:t>
      </w:r>
    </w:p>
    <w:p>
      <w:pPr>
        <w:pStyle w:val="ListBullet"/>
      </w:pPr>
      <w:r>
        <w:t>SIGN population</w:t>
      </w:r>
    </w:p>
    <w:p>
      <w:pPr>
        <w:pStyle w:val="ListBullet"/>
      </w:pPr>
      <w:r>
        <w:t>SIGN houses</w:t>
      </w:r>
    </w:p>
    <w:p>
      <w:pPr>
        <w:pStyle w:val="ListBullet"/>
      </w:pPr>
      <w:r>
        <w:t>SIGN streets</w:t>
      </w:r>
    </w:p>
    <w:p>
      <w:pPr>
        <w:pStyle w:val="ListBullet"/>
      </w:pPr>
      <w:r>
        <w:t>SIGN services</w:t>
      </w:r>
    </w:p>
    <w:p>
      <w:pPr>
        <w:pStyle w:val="ListBullet"/>
      </w:pPr>
      <w:r>
        <w:t>NEEDS MORE EVIDENCE everyone prospered</w:t>
      </w:r>
    </w:p>
    <w:p>
      <w:pPr>
        <w:pStyle w:val="ListBullet"/>
      </w:pPr>
      <w:r>
        <w:t>NEEDS MORE EVIDENCE all homes were crowded</w:t>
      </w:r>
    </w:p>
    <w:p>
      <w:pPr>
        <w:pStyle w:val="ListBullet"/>
      </w:pPr>
      <w:r>
        <w:t>NEEDS MORE EVIDENCE one cause explains all</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4F869C"/>
          </w:tcPr>
          <w:p>
            <w:pPr>
              <w:spacing w:after="60" w:line="269" w:lineRule="auto"/>
            </w:pPr>
            <w:r>
              <w:rPr>
                <w:rFonts w:ascii="Arial" w:hAnsi="Arial"/>
                <w:b/>
                <w:color w:val="FFFFFF"/>
                <w:sz w:val="22"/>
              </w:rPr>
              <w:t>Choice / card</w:t>
            </w:r>
          </w:p>
        </w:tc>
        <w:tc>
          <w:tcPr>
            <w:tcW w:type="dxa" w:w="3288"/>
            <w:vAlign w:val="top"/>
            <w:shd w:fill="4F869C"/>
          </w:tcPr>
          <w:p>
            <w:pPr>
              <w:spacing w:after="60" w:line="269" w:lineRule="auto"/>
            </w:pPr>
            <w:r>
              <w:rPr>
                <w:rFonts w:ascii="Arial" w:hAnsi="Arial"/>
                <w:b/>
                <w:color w:val="FFFFFF"/>
                <w:sz w:val="22"/>
              </w:rPr>
              <w:t>My reason or evidence</w:t>
            </w:r>
          </w:p>
        </w:tc>
        <w:tc>
          <w:tcPr>
            <w:tcW w:type="dxa" w:w="3288"/>
            <w:vAlign w:val="top"/>
            <w:shd w:fill="4F869C"/>
          </w:tcPr>
          <w:p>
            <w:pPr>
              <w:spacing w:after="60" w:line="269" w:lineRule="auto"/>
            </w:pPr>
            <w:r>
              <w:rPr>
                <w:rFonts w:ascii="Arial" w:hAnsi="Arial"/>
                <w:b/>
                <w:color w:val="FFFFFF"/>
                <w:sz w:val="22"/>
              </w:rPr>
              <w:t>My revision after feedback</w:t>
            </w:r>
          </w:p>
        </w:tc>
      </w:tr>
      <w:tr>
        <w:trPr>
          <w:cantSplit/>
          <w:trHeight w:val="737"/>
        </w:trPr>
        <w:tc>
          <w:tcPr>
            <w:tcW w:type="dxa" w:w="3288"/>
            <w:vAlign w:val="top"/>
            <w:shd w:fill="FFFFFF"/>
          </w:tcPr>
          <w:p>
            <w:pPr>
              <w:spacing w:after="60" w:line="269" w:lineRule="auto"/>
            </w:pPr>
            <w:r>
              <w:rPr>
                <w:rFonts w:ascii="Arial" w:hAnsi="Arial"/>
                <w:b w:val="0"/>
                <w:color w:val="18233F"/>
                <w:sz w:val="22"/>
              </w:rPr>
            </w:r>
          </w:p>
        </w:tc>
        <w:tc>
          <w:tcPr>
            <w:tcW w:type="dxa" w:w="3288"/>
            <w:vAlign w:val="top"/>
            <w:shd w:fill="FFFFFF"/>
          </w:tcPr>
          <w:p>
            <w:pPr>
              <w:spacing w:after="60" w:line="269" w:lineRule="auto"/>
            </w:pPr>
            <w:r>
              <w:rPr>
                <w:rFonts w:ascii="Arial" w:hAnsi="Arial"/>
                <w:b w:val="0"/>
                <w:color w:val="18233F"/>
                <w:sz w:val="22"/>
              </w:rPr>
            </w:r>
          </w:p>
        </w:tc>
        <w:tc>
          <w:tcPr>
            <w:tcW w:type="dxa" w:w="3288"/>
            <w:vAlign w:val="top"/>
            <w:shd w:fill="FFFFFF"/>
          </w:tcPr>
          <w:p>
            <w:pPr>
              <w:spacing w:after="60" w:line="269" w:lineRule="auto"/>
            </w:pPr>
            <w:r>
              <w:rPr>
                <w:rFonts w:ascii="Arial" w:hAnsi="Arial"/>
                <w:b w:val="0"/>
                <w:color w:val="18233F"/>
                <w:sz w:val="22"/>
              </w:rPr>
            </w:r>
          </w:p>
        </w:tc>
      </w:tr>
      <w:tr>
        <w:trPr>
          <w:cantSplit/>
          <w:trHeight w:val="737"/>
        </w:trPr>
        <w:tc>
          <w:tcPr>
            <w:tcW w:type="dxa" w:w="3288"/>
            <w:vAlign w:val="top"/>
            <w:shd w:fill="F1F5F6"/>
          </w:tcPr>
          <w:p>
            <w:pPr>
              <w:spacing w:after="60" w:line="269" w:lineRule="auto"/>
            </w:pPr>
            <w:r>
              <w:rPr>
                <w:rFonts w:ascii="Arial" w:hAnsi="Arial"/>
                <w:b w:val="0"/>
                <w:color w:val="18233F"/>
                <w:sz w:val="22"/>
              </w:rPr>
            </w:r>
          </w:p>
        </w:tc>
        <w:tc>
          <w:tcPr>
            <w:tcW w:type="dxa" w:w="3288"/>
            <w:vAlign w:val="top"/>
            <w:shd w:fill="F1F5F6"/>
          </w:tcPr>
          <w:p>
            <w:pPr>
              <w:spacing w:after="60" w:line="269" w:lineRule="auto"/>
            </w:pPr>
            <w:r>
              <w:rPr>
                <w:rFonts w:ascii="Arial" w:hAnsi="Arial"/>
                <w:b w:val="0"/>
                <w:color w:val="18233F"/>
                <w:sz w:val="22"/>
              </w:rPr>
            </w:r>
          </w:p>
        </w:tc>
        <w:tc>
          <w:tcPr>
            <w:tcW w:type="dxa" w:w="3288"/>
            <w:vAlign w:val="top"/>
            <w:shd w:fill="F1F5F6"/>
          </w:tcPr>
          <w:p>
            <w:pPr>
              <w:spacing w:after="60" w:line="269" w:lineRule="auto"/>
            </w:pPr>
            <w:r>
              <w:rPr>
                <w:rFonts w:ascii="Arial" w:hAnsi="Arial"/>
                <w:b w:val="0"/>
                <w:color w:val="18233F"/>
                <w:sz w:val="22"/>
              </w:rPr>
            </w:r>
          </w:p>
        </w:tc>
      </w:tr>
      <w:tr>
        <w:trPr>
          <w:cantSplit/>
          <w:trHeight w:val="737"/>
        </w:trPr>
        <w:tc>
          <w:tcPr>
            <w:tcW w:type="dxa" w:w="3288"/>
            <w:vAlign w:val="top"/>
            <w:shd w:fill="FFFFFF"/>
          </w:tcPr>
          <w:p>
            <w:pPr>
              <w:spacing w:after="60" w:line="269" w:lineRule="auto"/>
            </w:pPr>
            <w:r>
              <w:rPr>
                <w:rFonts w:ascii="Arial" w:hAnsi="Arial"/>
                <w:b w:val="0"/>
                <w:color w:val="18233F"/>
                <w:sz w:val="22"/>
              </w:rPr>
            </w:r>
          </w:p>
        </w:tc>
        <w:tc>
          <w:tcPr>
            <w:tcW w:type="dxa" w:w="3288"/>
            <w:vAlign w:val="top"/>
            <w:shd w:fill="FFFFFF"/>
          </w:tcPr>
          <w:p>
            <w:pPr>
              <w:spacing w:after="60" w:line="269" w:lineRule="auto"/>
            </w:pPr>
            <w:r>
              <w:rPr>
                <w:rFonts w:ascii="Arial" w:hAnsi="Arial"/>
                <w:b w:val="0"/>
                <w:color w:val="18233F"/>
                <w:sz w:val="22"/>
              </w:rPr>
            </w:r>
          </w:p>
        </w:tc>
        <w:tc>
          <w:tcPr>
            <w:tcW w:type="dxa" w:w="3288"/>
            <w:vAlign w:val="top"/>
            <w:shd w:fill="FFFFFF"/>
          </w:tcPr>
          <w:p>
            <w:pPr>
              <w:spacing w:after="60" w:line="269" w:lineRule="auto"/>
            </w:pPr>
            <w:r>
              <w:rPr>
                <w:rFonts w:ascii="Arial" w:hAnsi="Arial"/>
                <w:b w:val="0"/>
                <w:color w:val="18233F"/>
                <w:sz w:val="22"/>
              </w:rPr>
            </w:r>
          </w:p>
        </w:tc>
      </w:tr>
      <w:tr>
        <w:trPr>
          <w:cantSplit/>
          <w:trHeight w:val="737"/>
        </w:trPr>
        <w:tc>
          <w:tcPr>
            <w:tcW w:type="dxa" w:w="3288"/>
            <w:vAlign w:val="top"/>
            <w:shd w:fill="F1F5F6"/>
          </w:tcPr>
          <w:p>
            <w:pPr>
              <w:spacing w:after="60" w:line="269" w:lineRule="auto"/>
            </w:pPr>
            <w:r>
              <w:rPr>
                <w:rFonts w:ascii="Arial" w:hAnsi="Arial"/>
                <w:b w:val="0"/>
                <w:color w:val="18233F"/>
                <w:sz w:val="22"/>
              </w:rPr>
            </w:r>
          </w:p>
        </w:tc>
        <w:tc>
          <w:tcPr>
            <w:tcW w:type="dxa" w:w="3288"/>
            <w:vAlign w:val="top"/>
            <w:shd w:fill="F1F5F6"/>
          </w:tcPr>
          <w:p>
            <w:pPr>
              <w:spacing w:after="60" w:line="269" w:lineRule="auto"/>
            </w:pPr>
            <w:r>
              <w:rPr>
                <w:rFonts w:ascii="Arial" w:hAnsi="Arial"/>
                <w:b w:val="0"/>
                <w:color w:val="18233F"/>
                <w:sz w:val="22"/>
              </w:rPr>
            </w:r>
          </w:p>
        </w:tc>
        <w:tc>
          <w:tcPr>
            <w:tcW w:type="dxa" w:w="3288"/>
            <w:vAlign w:val="top"/>
            <w:shd w:fill="F1F5F6"/>
          </w:tcPr>
          <w:p>
            <w:pPr>
              <w:spacing w:after="60" w:line="269" w:lineRule="auto"/>
            </w:pPr>
            <w:r>
              <w:rPr>
                <w:rFonts w:ascii="Arial" w:hAnsi="Arial"/>
                <w:b w:val="0"/>
                <w:color w:val="18233F"/>
                <w:sz w:val="22"/>
              </w:rPr>
            </w:r>
          </w:p>
        </w:tc>
      </w:tr>
    </w:tbl>
    <w:p>
      <w:pPr>
        <w:spacing w:after="0"/>
      </w:pPr>
    </w:p>
    <w:p>
      <w:pPr>
        <w:pStyle w:val="Heading2"/>
      </w:pPr>
      <w:r>
        <w:t>Exit · one next step</w:t>
      </w:r>
    </w:p>
    <w:p>
      <w:pPr>
        <w:keepNext/>
      </w:pPr>
      <w:r>
        <w:t>After the adult has listened, what will you keep, improve or check next?</w:t>
      </w:r>
    </w:p>
    <w:p>
      <w:pPr>
        <w:keepNext/>
        <w:spacing w:after="0" w:line="240" w:lineRule="auto"/>
        <w:pBdr>
          <w:bottom w:val="single" w:sz="3" w:color="D6DFE4" w:space="1"/>
        </w:pBdr>
      </w:pPr>
      <w:r>
        <w:rPr>
          <w:sz w:val="40"/>
        </w:rPr>
        <w:t xml:space="preserve"> </w:t>
      </w:r>
    </w:p>
    <w:p>
      <w:pPr>
        <w:keepNext w:val="0"/>
        <w:spacing w:after="0" w:line="240" w:lineRule="auto"/>
        <w:pBdr>
          <w:bottom w:val="single" w:sz="3" w:color="D6DFE4" w:space="1"/>
        </w:pBdr>
      </w:pPr>
      <w:r>
        <w:rPr>
          <w:sz w:val="40"/>
        </w:rPr>
        <w:t xml:space="preserve"> </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BUILD_HUM_W12_A_Town_Grows_Fast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4F869C"/>
        <w:sz w:val="18"/>
      </w:rPr>
      <w:t>BUILD  /  HUMANITIES    •    PUPIL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4F869C"/>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4F869C"/>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4F869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4F869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