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From fieldwork to spreadsheet and graph / LAUNCH_A2_W05</w:t>
      </w:r>
    </w:p>
    <w:p>
      <w:r>
        <w:t>Outcome: Record fieldwork in a spreadsheet and graph it.</w:t>
      </w:r>
    </w:p>
    <w:p>
      <w:r>
        <w:t>Evidence to retain: F: accurate transfer, graph and pattern statement.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Why is a bar chart suitable for land-use categories?</w:t>
      </w:r>
    </w:p>
    <w:p>
      <w:r>
        <w:t>Evidence: Fictional land-use practice tally. Category: Shops. Count: 8. Units: Count.</w:t>
      </w:r>
    </w:p>
    <w:p>
      <w:r>
        <w:t>Think aloud: It compares counts across separate categories.</w:t>
      </w:r>
    </w:p>
    <w:p>
      <w:r>
        <w:t>Check: What if fieldwork data are missing? Use clearly labelled practice data for the skill, then collect genuine observations before assessing the fieldwork enquiry.</w:t>
      </w:r>
    </w:p>
    <w:p>
      <w:pPr>
        <w:pStyle w:val="Heading2"/>
      </w:pPr>
      <w:r>
        <w:t>Arrival answers</w:t>
      </w:r>
    </w:p>
    <w:p>
      <w:r>
        <w:t>1. It makes observations more consistent and comparable.</w:t>
      </w:r>
    </w:p>
    <w:p>
      <w:r>
        <w:t>2. A place where people live</w:t>
      </w:r>
    </w:p>
    <w:p>
      <w:r>
        <w:t>3. It compares counts across separate categories.</w:t>
      </w:r>
    </w:p>
    <w:p>
      <w:r>
        <w:t>4. Use clearly labelled practice data for the skill, then collect genuine observations before assessing the fieldwork enquiry.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Why is a bar chart suitable for land-use categories? It compares counts across separate categories.</w:t>
      </w:r>
    </w:p>
    <w:p>
      <w:r>
        <w:t>What if fieldwork data are missing? Use clearly labelled practice data for the skill, then collect genuine observations before assessing the fieldwork enquiry.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Transfer collected data into a prepared spreadsheet; choose a suitable graph; label axes and describe a pattern.</w:t>
      </w:r>
    </w:p>
    <w:p>
      <w:pPr>
        <w:pStyle w:val="Heading2"/>
      </w:pPr>
      <w:r>
        <w:t>Look for</w:t>
      </w:r>
    </w:p>
    <w:p>
      <w:r>
        <w:t>F: accurate transfer, graph and pattern statement.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fieldwork to spreadsheet and graph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