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Fieldwork Enquiry Verdict</w:t>
      </w:r>
    </w:p>
    <w:p>
      <w:pPr>
        <w:pStyle w:val="Subtitle"/>
      </w:pPr>
      <w:r>
        <w:t>LAUNCH · Humanities · 40 minutes</w:t>
      </w:r>
    </w:p>
    <w:p>
      <w:r>
        <w:t>I can independently construct and evaluate a fieldwork enquiry using question, method, data, analysis, conclusion and limitations.</w:t>
      </w:r>
    </w:p>
    <w:p>
      <w:pPr>
        <w:pStyle w:val="Heading1"/>
      </w:pPr>
      <w:r>
        <w:t>Prepare before pupils arrive</w:t>
      </w:r>
    </w:p>
    <w:p>
      <w:r>
        <w:t>Print the pupil pack and open Lesson.pptx. Keep the uploaded HTML available for its live controls. Prepare any approved atlas/source extracts, existing learner work, authorised local data or prior planner named in the source lesson.</w:t>
      </w:r>
    </w:p>
    <w:p>
      <w:r>
        <w:t>Check the approved source/data pack, access route and lesson boundary before pupils arrive.</w:t>
      </w:r>
    </w:p>
    <w:p>
      <w:r>
        <w:t>Stable Space first. Replace inaccessible format before reducing geographical demand.</w:t>
      </w:r>
    </w:p>
    <w:p>
      <w:pPr>
        <w:pStyle w:val="Heading2"/>
      </w:pPr>
      <w:r>
        <w:t>Access and participation</w:t>
      </w:r>
    </w:p>
    <w:p>
      <w:r>
        <w:t>Offer reading aloud, pointing, signing, quiet thinking, a no-touch route and exact scribing where these support the learner. Keep the same subject decision. In shared work, let each learner commit before feedback; use a partner as card mover or checker, then swap. Avoid public speed rankings.</w:t>
      </w:r>
    </w:p>
    <w:p>
      <w:pPr>
        <w:pStyle w:val="Heading1"/>
      </w:pPr>
      <w:r>
        <w:t>40-minute teaching sequence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5B91A5"/>
          </w:tcPr>
          <w:p>
            <w:pPr>
              <w:spacing w:after="60" w:line="269" w:lineRule="auto"/>
            </w:pPr>
            <w:r>
              <w:rPr>
                <w:rFonts w:ascii="Arial" w:hAnsi="Arial"/>
                <w:b/>
                <w:color w:val="FFFFFF"/>
                <w:sz w:val="20"/>
              </w:rPr>
              <w:t>Stage / total time</w:t>
            </w:r>
          </w:p>
        </w:tc>
        <w:tc>
          <w:tcPr>
            <w:tcW w:type="dxa" w:w="3288"/>
            <w:vAlign w:val="top"/>
            <w:shd w:fill="5B91A5"/>
          </w:tcPr>
          <w:p>
            <w:pPr>
              <w:spacing w:after="60" w:line="269" w:lineRule="auto"/>
            </w:pPr>
            <w:r>
              <w:rPr>
                <w:rFonts w:ascii="Arial" w:hAnsi="Arial"/>
                <w:b/>
                <w:color w:val="FFFFFF"/>
                <w:sz w:val="20"/>
              </w:rPr>
              <w:t>Teaching move</w:t>
            </w:r>
          </w:p>
        </w:tc>
        <w:tc>
          <w:tcPr>
            <w:tcW w:type="dxa" w:w="3288"/>
            <w:vAlign w:val="top"/>
            <w:shd w:fill="5B91A5"/>
          </w:tcPr>
          <w:p>
            <w:pPr>
              <w:spacing w:after="60" w:line="269" w:lineRule="auto"/>
            </w:pPr>
            <w:r>
              <w:rPr>
                <w:rFonts w:ascii="Arial" w:hAnsi="Arial"/>
                <w:b/>
                <w:color w:val="FFFFFF"/>
                <w:sz w:val="20"/>
              </w:rPr>
              <w:t>Adult support / response</w:t>
            </w:r>
          </w:p>
        </w:tc>
      </w:tr>
      <w:tr>
        <w:trPr>
          <w:cantSplit/>
        </w:trPr>
        <w:tc>
          <w:tcPr>
            <w:tcW w:type="dxa" w:w="3288"/>
            <w:vAlign w:val="top"/>
            <w:shd w:fill="FFFFFF"/>
          </w:tcPr>
          <w:p>
            <w:pPr>
              <w:spacing w:after="60" w:line="269" w:lineRule="auto"/>
            </w:pPr>
            <w:r>
              <w:rPr>
                <w:rFonts w:ascii="Arial" w:hAnsi="Arial"/>
                <w:b w:val="0"/>
                <w:color w:val="18233F"/>
                <w:sz w:val="20"/>
              </w:rPr>
              <w:t>Arrival · 3 min</w:t>
            </w:r>
          </w:p>
        </w:tc>
        <w:tc>
          <w:tcPr>
            <w:tcW w:type="dxa" w:w="3288"/>
            <w:vAlign w:val="top"/>
            <w:shd w:fill="FFFFFF"/>
          </w:tcPr>
          <w:p>
            <w:pPr>
              <w:spacing w:after="60" w:line="269" w:lineRule="auto"/>
            </w:pPr>
            <w:r>
              <w:rPr>
                <w:rFonts w:ascii="Arial" w:hAnsi="Arial"/>
                <w:b w:val="0"/>
                <w:color w:val="18233F"/>
                <w:sz w:val="20"/>
              </w:rPr>
              <w:t>Standard Retrieve the method, one result and one limitation without adding new evidence.</w:t>
            </w:r>
          </w:p>
        </w:tc>
        <w:tc>
          <w:tcPr>
            <w:tcW w:type="dxa" w:w="3288"/>
            <w:vAlign w:val="top"/>
            <w:shd w:fill="FFFFFF"/>
          </w:tcPr>
          <w:p>
            <w:pPr>
              <w:spacing w:after="60" w:line="269" w:lineRule="auto"/>
            </w:pPr>
            <w:r>
              <w:rPr>
                <w:rFonts w:ascii="Arial" w:hAnsi="Arial"/>
                <w:b w:val="0"/>
                <w:color w:val="18233F"/>
                <w:sz w:val="20"/>
              </w:rPr>
              <w:t>Give quiet retrieval time and the smallest useful cue. Secure → step back. Access block → change format, not the geographical demand.</w:t>
            </w:r>
          </w:p>
        </w:tc>
      </w:tr>
      <w:tr>
        <w:trPr>
          <w:cantSplit/>
        </w:trPr>
        <w:tc>
          <w:tcPr>
            <w:tcW w:type="dxa" w:w="3288"/>
            <w:vAlign w:val="top"/>
            <w:shd w:fill="F1F5F6"/>
          </w:tcPr>
          <w:p>
            <w:pPr>
              <w:spacing w:after="60" w:line="269" w:lineRule="auto"/>
            </w:pPr>
            <w:r>
              <w:rPr>
                <w:rFonts w:ascii="Arial" w:hAnsi="Arial"/>
                <w:b w:val="0"/>
                <w:color w:val="18233F"/>
                <w:sz w:val="20"/>
              </w:rPr>
              <w:t>Starter · 3 min</w:t>
            </w:r>
          </w:p>
        </w:tc>
        <w:tc>
          <w:tcPr>
            <w:tcW w:type="dxa" w:w="3288"/>
            <w:vAlign w:val="top"/>
            <w:shd w:fill="F1F5F6"/>
          </w:tcPr>
          <w:p>
            <w:pPr>
              <w:spacing w:after="60" w:line="269" w:lineRule="auto"/>
            </w:pPr>
            <w:r>
              <w:rPr>
                <w:rFonts w:ascii="Arial" w:hAnsi="Arial"/>
                <w:b w:val="0"/>
                <w:color w:val="18233F"/>
                <w:sz w:val="20"/>
              </w:rPr>
              <w:t>Enquiry What does our evidence support about place—and what stops us claiming more? QUESTION / HYPOTHESIS Question → method → data.</w:t>
            </w:r>
          </w:p>
        </w:tc>
        <w:tc>
          <w:tcPr>
            <w:tcW w:type="dxa" w:w="3288"/>
            <w:vAlign w:val="top"/>
            <w:shd w:fill="F1F5F6"/>
          </w:tcPr>
          <w:p>
            <w:pPr>
              <w:spacing w:after="60" w:line="269" w:lineRule="auto"/>
            </w:pPr>
            <w:r>
              <w:rPr>
                <w:rFonts w:ascii="Arial" w:hAnsi="Arial"/>
                <w:b w:val="0"/>
                <w:color w:val="18233F"/>
                <w:sz w:val="20"/>
              </w:rPr>
              <w:t>Elicit a provisional geographical judgement before explanation. Do not use a public vote to validate reasoning.</w:t>
            </w:r>
          </w:p>
        </w:tc>
      </w:tr>
      <w:tr>
        <w:trPr>
          <w:cantSplit/>
        </w:trPr>
        <w:tc>
          <w:tcPr>
            <w:tcW w:type="dxa" w:w="3288"/>
            <w:vAlign w:val="top"/>
            <w:shd w:fill="FFFFFF"/>
          </w:tcPr>
          <w:p>
            <w:pPr>
              <w:spacing w:after="60" w:line="269" w:lineRule="auto"/>
            </w:pPr>
            <w:r>
              <w:rPr>
                <w:rFonts w:ascii="Arial" w:hAnsi="Arial"/>
                <w:b w:val="0"/>
                <w:color w:val="18233F"/>
                <w:sz w:val="20"/>
              </w:rPr>
              <w:t>I do · 3 min</w:t>
            </w:r>
          </w:p>
        </w:tc>
        <w:tc>
          <w:tcPr>
            <w:tcW w:type="dxa" w:w="3288"/>
            <w:vAlign w:val="top"/>
            <w:shd w:fill="FFFFFF"/>
          </w:tcPr>
          <w:p>
            <w:pPr>
              <w:spacing w:after="60" w:line="269" w:lineRule="auto"/>
            </w:pPr>
            <w:r>
              <w:rPr>
                <w:rFonts w:ascii="Arial" w:hAnsi="Arial"/>
                <w:b w:val="0"/>
                <w:color w:val="18233F"/>
                <w:sz w:val="20"/>
              </w:rPr>
              <w:t>Model one reasoning step at a time. Rehearse process only: Question → Method → Results → Analysis → Conclusion → Evaluation.</w:t>
            </w:r>
          </w:p>
        </w:tc>
        <w:tc>
          <w:tcPr>
            <w:tcW w:type="dxa" w:w="3288"/>
            <w:vAlign w:val="top"/>
            <w:shd w:fill="FFFFFF"/>
          </w:tcPr>
          <w:p>
            <w:pPr>
              <w:spacing w:after="60" w:line="269" w:lineRule="auto"/>
            </w:pPr>
            <w:r>
              <w:rPr>
                <w:rFonts w:ascii="Arial" w:hAnsi="Arial"/>
                <w:b w:val="0"/>
                <w:color w:val="18233F"/>
                <w:sz w:val="20"/>
              </w:rPr>
              <w:t>Model one evidence-to-judgement step at a time. Model structure/process only; do not model the protected answer.</w:t>
            </w:r>
          </w:p>
        </w:tc>
      </w:tr>
      <w:tr>
        <w:trPr>
          <w:cantSplit/>
        </w:trPr>
        <w:tc>
          <w:tcPr>
            <w:tcW w:type="dxa" w:w="3288"/>
            <w:vAlign w:val="top"/>
            <w:shd w:fill="F1F5F6"/>
          </w:tcPr>
          <w:p>
            <w:pPr>
              <w:spacing w:after="60" w:line="269" w:lineRule="auto"/>
            </w:pPr>
            <w:r>
              <w:rPr>
                <w:rFonts w:ascii="Arial" w:hAnsi="Arial"/>
                <w:b w:val="0"/>
                <w:color w:val="18233F"/>
                <w:sz w:val="20"/>
              </w:rPr>
              <w:t>We do · 3 min</w:t>
            </w:r>
          </w:p>
        </w:tc>
        <w:tc>
          <w:tcPr>
            <w:tcW w:type="dxa" w:w="3288"/>
            <w:vAlign w:val="top"/>
            <w:shd w:fill="F1F5F6"/>
          </w:tcPr>
          <w:p>
            <w:pPr>
              <w:spacing w:after="60" w:line="269" w:lineRule="auto"/>
            </w:pPr>
            <w:r>
              <w:rPr>
                <w:rFonts w:ascii="Arial" w:hAnsi="Arial"/>
                <w:b w:val="0"/>
                <w:color w:val="18233F"/>
                <w:sz w:val="20"/>
              </w:rPr>
              <w:t>Commit before reveal: A separate practice enquiry measured noise at only two sites, once. Which evaluation is strongest?</w:t>
            </w:r>
          </w:p>
        </w:tc>
        <w:tc>
          <w:tcPr>
            <w:tcW w:type="dxa" w:w="3288"/>
            <w:vAlign w:val="top"/>
            <w:shd w:fill="F1F5F6"/>
          </w:tcPr>
          <w:p>
            <w:pPr>
              <w:spacing w:after="60" w:line="269" w:lineRule="auto"/>
            </w:pPr>
            <w:r>
              <w:rPr>
                <w:rFonts w:ascii="Arial" w:hAnsi="Arial"/>
                <w:b w:val="0"/>
                <w:color w:val="18233F"/>
                <w:sz w:val="20"/>
              </w:rPr>
              <w:t>Require a reason before giving feedback. Secure → transfer or counter-evidence. Not yet → return to the key evidence and retry.</w:t>
            </w:r>
          </w:p>
        </w:tc>
      </w:tr>
      <w:tr>
        <w:trPr>
          <w:cantSplit/>
        </w:trPr>
        <w:tc>
          <w:tcPr>
            <w:tcW w:type="dxa" w:w="3288"/>
            <w:vAlign w:val="top"/>
            <w:shd w:fill="FFFFFF"/>
          </w:tcPr>
          <w:p>
            <w:pPr>
              <w:spacing w:after="60" w:line="269" w:lineRule="auto"/>
            </w:pPr>
            <w:r>
              <w:rPr>
                <w:rFonts w:ascii="Arial" w:hAnsi="Arial"/>
                <w:b w:val="0"/>
                <w:color w:val="18233F"/>
                <w:sz w:val="20"/>
              </w:rPr>
              <w:t>I do 2 · 2 min</w:t>
            </w:r>
          </w:p>
        </w:tc>
        <w:tc>
          <w:tcPr>
            <w:tcW w:type="dxa" w:w="3288"/>
            <w:vAlign w:val="top"/>
            <w:shd w:fill="FFFFFF"/>
          </w:tcPr>
          <w:p>
            <w:pPr>
              <w:spacing w:after="60" w:line="269" w:lineRule="auto"/>
            </w:pPr>
            <w:r>
              <w:rPr>
                <w:rFonts w:ascii="Arial" w:hAnsi="Arial"/>
                <w:b w:val="0"/>
                <w:color w:val="18233F"/>
                <w:sz w:val="20"/>
              </w:rPr>
              <w:t>Strengthen—not lengthen—the reasoning. Freeze the approved evidence pack and the pre-agreed access route before independent work begins.</w:t>
            </w:r>
          </w:p>
        </w:tc>
        <w:tc>
          <w:tcPr>
            <w:tcW w:type="dxa" w:w="3288"/>
            <w:vAlign w:val="top"/>
            <w:shd w:fill="FFFFFF"/>
          </w:tcPr>
          <w:p>
            <w:pPr>
              <w:spacing w:after="60" w:line="269" w:lineRule="auto"/>
            </w:pPr>
            <w:r>
              <w:rPr>
                <w:rFonts w:ascii="Arial" w:hAnsi="Arial"/>
                <w:b w:val="0"/>
                <w:color w:val="18233F"/>
                <w:sz w:val="20"/>
              </w:rPr>
              <w:t>Raise challenge with counter-evidence, scale, alternative method or validity. No volume-only stretch; keep access supports available.</w:t>
            </w:r>
          </w:p>
        </w:tc>
      </w:tr>
      <w:tr>
        <w:trPr>
          <w:cantSplit/>
        </w:trPr>
        <w:tc>
          <w:tcPr>
            <w:tcW w:type="dxa" w:w="3288"/>
            <w:vAlign w:val="top"/>
            <w:shd w:fill="F1F5F6"/>
          </w:tcPr>
          <w:p>
            <w:pPr>
              <w:spacing w:after="60" w:line="269" w:lineRule="auto"/>
            </w:pPr>
            <w:r>
              <w:rPr>
                <w:rFonts w:ascii="Arial" w:hAnsi="Arial"/>
                <w:b w:val="0"/>
                <w:color w:val="18233F"/>
                <w:sz w:val="20"/>
              </w:rPr>
              <w:t>We do 2 · 2 min</w:t>
            </w:r>
          </w:p>
        </w:tc>
        <w:tc>
          <w:tcPr>
            <w:tcW w:type="dxa" w:w="3288"/>
            <w:vAlign w:val="top"/>
            <w:shd w:fill="F1F5F6"/>
          </w:tcPr>
          <w:p>
            <w:pPr>
              <w:spacing w:after="60" w:line="269" w:lineRule="auto"/>
            </w:pPr>
            <w:r>
              <w:rPr>
                <w:rFonts w:ascii="Arial" w:hAnsi="Arial"/>
                <w:b w:val="0"/>
                <w:color w:val="18233F"/>
                <w:sz w:val="20"/>
              </w:rPr>
              <w:t>Evidence Chain · rehearsal only CONSTRUCTED CLASSROOM RESOURCE: This fictional composite is inspired by the broad Teesside setting. It is not official data, is not to scale and must not be used for navigation, safety or real-world planning.</w:t>
            </w:r>
          </w:p>
        </w:tc>
        <w:tc>
          <w:tcPr>
            <w:tcW w:type="dxa" w:w="3288"/>
            <w:vAlign w:val="top"/>
            <w:shd w:fill="F1F5F6"/>
          </w:tcPr>
          <w:p>
            <w:pPr>
              <w:spacing w:after="60" w:line="269" w:lineRule="auto"/>
            </w:pPr>
            <w:r>
              <w:rPr>
                <w:rFonts w:ascii="Arial" w:hAnsi="Arial"/>
                <w:b w:val="0"/>
                <w:color w:val="18233F"/>
                <w:sz w:val="20"/>
              </w:rPr>
              <w:t>The learner makes the geographical choice; the interface is rehearsal only. Close the rehearsal panel before protected work begins.</w:t>
            </w:r>
          </w:p>
        </w:tc>
      </w:tr>
      <w:tr>
        <w:trPr>
          <w:cantSplit/>
        </w:trPr>
        <w:tc>
          <w:tcPr>
            <w:tcW w:type="dxa" w:w="3288"/>
            <w:vAlign w:val="top"/>
            <w:shd w:fill="FFFFFF"/>
          </w:tcPr>
          <w:p>
            <w:pPr>
              <w:spacing w:after="60" w:line="269" w:lineRule="auto"/>
            </w:pPr>
            <w:r>
              <w:rPr>
                <w:rFonts w:ascii="Arial" w:hAnsi="Arial"/>
                <w:b w:val="0"/>
                <w:color w:val="18233F"/>
                <w:sz w:val="20"/>
              </w:rPr>
              <w:t>Independent · 20 min</w:t>
            </w:r>
          </w:p>
        </w:tc>
        <w:tc>
          <w:tcPr>
            <w:tcW w:type="dxa" w:w="3288"/>
            <w:vAlign w:val="top"/>
            <w:shd w:fill="FFFFFF"/>
          </w:tcPr>
          <w:p>
            <w:pPr>
              <w:spacing w:after="60" w:line="269" w:lineRule="auto"/>
            </w:pPr>
            <w:r>
              <w:rPr>
                <w:rFonts w:ascii="Arial" w:hAnsi="Arial"/>
                <w:b w:val="0"/>
                <w:color w:val="18233F"/>
                <w:sz w:val="20"/>
              </w:rPr>
              <w:t>Independent mission I can independently construct and evaluate a fieldwork enquiry using question, method, data, analysis, conclusion and limitations. 20 minutes.</w:t>
            </w:r>
          </w:p>
        </w:tc>
        <w:tc>
          <w:tcPr>
            <w:tcW w:type="dxa" w:w="3288"/>
            <w:vAlign w:val="top"/>
            <w:shd w:fill="FFFFFF"/>
          </w:tcPr>
          <w:p>
            <w:pPr>
              <w:spacing w:after="60" w:line="269" w:lineRule="auto"/>
            </w:pPr>
            <w:r>
              <w:rPr>
                <w:rFonts w:ascii="Arial" w:hAnsi="Arial"/>
                <w:b w:val="0"/>
                <w:color w:val="18233F"/>
                <w:sz w:val="20"/>
              </w:rPr>
              <w:t>Only pre-agreed access/process support. Protect learner authorship. No live content feedback or post-hoc answer enhancement; normal marking follows completion.</w:t>
            </w:r>
          </w:p>
        </w:tc>
      </w:tr>
      <w:tr>
        <w:trPr>
          <w:cantSplit/>
        </w:trPr>
        <w:tc>
          <w:tcPr>
            <w:tcW w:type="dxa" w:w="3288"/>
            <w:vAlign w:val="top"/>
            <w:shd w:fill="F1F5F6"/>
          </w:tcPr>
          <w:p>
            <w:pPr>
              <w:spacing w:after="60" w:line="269" w:lineRule="auto"/>
            </w:pPr>
            <w:r>
              <w:rPr>
                <w:rFonts w:ascii="Arial" w:hAnsi="Arial"/>
                <w:b w:val="0"/>
                <w:color w:val="18233F"/>
                <w:sz w:val="20"/>
              </w:rPr>
              <w:t>Exit · 4 min</w:t>
            </w:r>
          </w:p>
        </w:tc>
        <w:tc>
          <w:tcPr>
            <w:tcW w:type="dxa" w:w="3288"/>
            <w:vAlign w:val="top"/>
            <w:shd w:fill="F1F5F6"/>
          </w:tcPr>
          <w:p>
            <w:pPr>
              <w:spacing w:after="60" w:line="269" w:lineRule="auto"/>
            </w:pPr>
            <w:r>
              <w:rPr>
                <w:rFonts w:ascii="Arial" w:hAnsi="Arial"/>
                <w:b w:val="0"/>
                <w:color w:val="18233F"/>
                <w:sz w:val="20"/>
              </w:rPr>
              <w:t>VOICE: After collection only: record the response route and whether any content prompt occurred. If it did, mark the outcome unprotected and follow centre rules for a fresh opportunity.</w:t>
            </w:r>
          </w:p>
        </w:tc>
        <w:tc>
          <w:tcPr>
            <w:tcW w:type="dxa" w:w="3288"/>
            <w:vAlign w:val="top"/>
            <w:shd w:fill="F1F5F6"/>
          </w:tcPr>
          <w:p>
            <w:pPr>
              <w:spacing w:after="60" w:line="269" w:lineRule="auto"/>
            </w:pPr>
            <w:r>
              <w:rPr>
                <w:rFonts w:ascii="Arial" w:hAnsi="Arial"/>
                <w:b w:val="0"/>
                <w:color w:val="18233F"/>
                <w:sz w:val="20"/>
              </w:rPr>
              <w:t>After collection, record product, route and protected-status check without improving the answer. Separate post-assessment condition feedback from answer improvement.</w:t>
            </w:r>
          </w:p>
        </w:tc>
      </w:tr>
    </w:tbl>
    <w:p>
      <w:pPr>
        <w:spacing w:after="0"/>
      </w:pPr>
    </w:p>
    <w:p>
      <w:r>
        <w:t>The timing belongs to the whole stage. Several PowerPoint slides may share it; do not restart that time on every slide. Full source-stage text is in the PowerPoint speaker notes and original HTML.</w:t>
      </w:r>
    </w:p>
    <w:p>
      <w:pPr>
        <w:pStyle w:val="Heading1"/>
        <w:pageBreakBefore/>
      </w:pPr>
      <w:r>
        <w:t>Answers, evidence and feedback</w:t>
      </w:r>
    </w:p>
    <w:p>
      <w:pPr>
        <w:pStyle w:val="Heading2"/>
      </w:pPr>
      <w:r>
        <w:t>We do checkpoint</w:t>
      </w:r>
    </w:p>
    <w:p>
      <w:r>
        <w:t>It offers a snapshot, but few sites and one time weaken reliability and any wider claim.</w:t>
      </w:r>
    </w:p>
    <w:p>
      <w:pPr>
        <w:pStyle w:val="Heading2"/>
      </w:pPr>
      <w:r>
        <w:t>Record the teaching response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4932"/>
        <w:gridCol w:w="4932"/>
      </w:tblGrid>
      <w:tr>
        <w:trPr>
          <w:cantSplit/>
          <w:tblHeader/>
        </w:trPr>
        <w:tc>
          <w:tcPr>
            <w:tcW w:type="dxa" w:w="4932"/>
            <w:vAlign w:val="top"/>
            <w:shd w:fill="5B91A5"/>
          </w:tcPr>
          <w:p>
            <w:pPr>
              <w:spacing w:after="60" w:line="269" w:lineRule="auto"/>
            </w:pPr>
            <w:r>
              <w:rPr>
                <w:rFonts w:ascii="Arial" w:hAnsi="Arial"/>
                <w:b/>
                <w:color w:val="FFFFFF"/>
                <w:sz w:val="21"/>
              </w:rPr>
              <w:t>What the learner actually showed</w:t>
            </w:r>
          </w:p>
        </w:tc>
        <w:tc>
          <w:tcPr>
            <w:tcW w:type="dxa" w:w="4932"/>
            <w:vAlign w:val="top"/>
            <w:shd w:fill="5B91A5"/>
          </w:tcPr>
          <w:p>
            <w:pPr>
              <w:spacing w:after="60" w:line="269" w:lineRule="auto"/>
            </w:pPr>
            <w:r>
              <w:rPr>
                <w:rFonts w:ascii="Arial" w:hAnsi="Arial"/>
                <w:b/>
                <w:color w:val="FFFFFF"/>
                <w:sz w:val="21"/>
              </w:rPr>
              <w:t>Next teaching action</w:t>
            </w:r>
          </w:p>
        </w:tc>
      </w:tr>
      <w:tr>
        <w:trPr>
          <w:cantSplit/>
        </w:trPr>
        <w:tc>
          <w:tcPr>
            <w:tcW w:type="dxa" w:w="4932"/>
            <w:vAlign w:val="top"/>
            <w:shd w:fill="FFFFFF"/>
          </w:tcPr>
          <w:p>
            <w:pPr>
              <w:spacing w:after="60" w:line="269" w:lineRule="auto"/>
            </w:pPr>
            <w:r>
              <w:rPr>
                <w:rFonts w:ascii="Arial" w:hAnsi="Arial"/>
                <w:b w:val="0"/>
                <w:color w:val="18233F"/>
                <w:sz w:val="21"/>
              </w:rPr>
              <w:t>Secure explanation with evidence</w:t>
            </w:r>
          </w:p>
        </w:tc>
        <w:tc>
          <w:tcPr>
            <w:tcW w:type="dxa" w:w="4932"/>
            <w:vAlign w:val="top"/>
            <w:shd w:fill="FFFFFF"/>
          </w:tcPr>
          <w:p>
            <w:pPr>
              <w:spacing w:after="60" w:line="269" w:lineRule="auto"/>
            </w:pPr>
            <w:r>
              <w:rPr>
                <w:rFonts w:ascii="Arial" w:hAnsi="Arial"/>
                <w:b w:val="0"/>
                <w:color w:val="18233F"/>
                <w:sz w:val="21"/>
              </w:rPr>
              <w:t>Reduce content prompting; offer another example or a limitation.</w:t>
            </w:r>
          </w:p>
        </w:tc>
      </w:tr>
      <w:tr>
        <w:trPr>
          <w:cantSplit/>
        </w:trPr>
        <w:tc>
          <w:tcPr>
            <w:tcW w:type="dxa" w:w="4932"/>
            <w:vAlign w:val="top"/>
            <w:shd w:fill="F1F5F6"/>
          </w:tcPr>
          <w:p>
            <w:pPr>
              <w:spacing w:after="60" w:line="269" w:lineRule="auto"/>
            </w:pPr>
            <w:r>
              <w:rPr>
                <w:rFonts w:ascii="Arial" w:hAnsi="Arial"/>
                <w:b w:val="0"/>
                <w:color w:val="18233F"/>
                <w:sz w:val="21"/>
              </w:rPr>
              <w:t>Partly correct / mixed</w:t>
            </w:r>
          </w:p>
        </w:tc>
        <w:tc>
          <w:tcPr>
            <w:tcW w:type="dxa" w:w="4932"/>
            <w:vAlign w:val="top"/>
            <w:shd w:fill="F1F5F6"/>
          </w:tcPr>
          <w:p>
            <w:pPr>
              <w:spacing w:after="60" w:line="269" w:lineRule="auto"/>
            </w:pPr>
            <w:r>
              <w:rPr>
                <w:rFonts w:ascii="Arial" w:hAnsi="Arial"/>
                <w:b w:val="0"/>
                <w:color w:val="18233F"/>
                <w:sz w:val="21"/>
              </w:rPr>
              <w:t>Point to the deciding evidence and invite a revision.</w:t>
            </w:r>
          </w:p>
        </w:tc>
      </w:tr>
      <w:tr>
        <w:trPr>
          <w:cantSplit/>
        </w:trPr>
        <w:tc>
          <w:tcPr>
            <w:tcW w:type="dxa" w:w="4932"/>
            <w:vAlign w:val="top"/>
            <w:shd w:fill="FFFFFF"/>
          </w:tcPr>
          <w:p>
            <w:pPr>
              <w:spacing w:after="60" w:line="269" w:lineRule="auto"/>
            </w:pPr>
            <w:r>
              <w:rPr>
                <w:rFonts w:ascii="Arial" w:hAnsi="Arial"/>
                <w:b w:val="0"/>
                <w:color w:val="18233F"/>
                <w:sz w:val="21"/>
              </w:rPr>
              <w:t>Access barrier</w:t>
            </w:r>
          </w:p>
        </w:tc>
        <w:tc>
          <w:tcPr>
            <w:tcW w:type="dxa" w:w="4932"/>
            <w:vAlign w:val="top"/>
            <w:shd w:fill="FFFFFF"/>
          </w:tcPr>
          <w:p>
            <w:pPr>
              <w:spacing w:after="60" w:line="269" w:lineRule="auto"/>
            </w:pPr>
            <w:r>
              <w:rPr>
                <w:rFonts w:ascii="Arial" w:hAnsi="Arial"/>
                <w:b w:val="0"/>
                <w:color w:val="18233F"/>
                <w:sz w:val="21"/>
              </w:rPr>
              <w:t>Change the reading, sensory or response format; keep the subject decision.</w:t>
            </w:r>
          </w:p>
        </w:tc>
      </w:tr>
      <w:tr>
        <w:trPr>
          <w:cantSplit/>
        </w:trPr>
        <w:tc>
          <w:tcPr>
            <w:tcW w:type="dxa" w:w="4932"/>
            <w:vAlign w:val="top"/>
            <w:shd w:fill="F1F5F6"/>
          </w:tcPr>
          <w:p>
            <w:pPr>
              <w:spacing w:after="60" w:line="269" w:lineRule="auto"/>
            </w:pPr>
            <w:r>
              <w:rPr>
                <w:rFonts w:ascii="Arial" w:hAnsi="Arial"/>
                <w:b w:val="0"/>
                <w:color w:val="18233F"/>
                <w:sz w:val="21"/>
              </w:rPr>
              <w:t>Missing source or observation</w:t>
            </w:r>
          </w:p>
        </w:tc>
        <w:tc>
          <w:tcPr>
            <w:tcW w:type="dxa" w:w="4932"/>
            <w:vAlign w:val="top"/>
            <w:shd w:fill="F1F5F6"/>
          </w:tcPr>
          <w:p>
            <w:pPr>
              <w:spacing w:after="60" w:line="269" w:lineRule="auto"/>
            </w:pPr>
            <w:r>
              <w:rPr>
                <w:rFonts w:ascii="Arial" w:hAnsi="Arial"/>
                <w:b w:val="0"/>
                <w:color w:val="18233F"/>
                <w:sz w:val="21"/>
              </w:rPr>
              <w:t>Keep the gap visible. Name the source or authorised check needed.</w:t>
            </w:r>
          </w:p>
        </w:tc>
      </w:tr>
    </w:tbl>
    <w:p>
      <w:pPr>
        <w:spacing w:after="0"/>
      </w:pPr>
    </w:p>
    <w:p>
      <w:pPr>
        <w:pStyle w:val="Heading2"/>
      </w:pPr>
      <w:r>
        <w:t>Safety and evidence boundary</w:t>
      </w:r>
    </w:p>
    <w:p>
      <w:r>
        <w:t>Use the centre’s authorised practical or fieldwork method and local risk assessment. Supplied sample data, fictional place models, card feedback and rehearsals are teaching material. They are not the learner’s practical observations or proof of a qualification outcome. For portfolio use, check the exact registered unit/version, accepted evidence and centre process.</w:t>
      </w:r>
    </w:p>
    <w:p>
      <w:pPr>
        <w:pStyle w:val="Heading1"/>
      </w:pPr>
      <w:r>
        <w:t>Sources and companion notes</w:t>
      </w:r>
    </w:p>
    <w:p>
      <w:r>
        <w:t>Primary classroom source: LAUNCH_HUM_W14_Fieldwork_Enquiry_Write_Up.html</w:t>
      </w:r>
    </w:p>
    <w:p>
      <w:r>
        <w:t>The uploaded lesson is included unchanged. Text and teaching steps in the PowerPoint are editable; source diagrams are placed images. Word booklets are editable. Static PDFs cannot reproduce HTML controls; use the paper cards/tables or open the original HTML.</w:t>
      </w:r>
    </w:p>
    <w:p>
      <w:r>
        <w:t>Verification scope: matched to the uploaded title, pathway, objective, stage sequence and 40-minute timing. Embedded workbook references are retained as source locators; this is not a new line-by-line audit of every scheme-of-work row or a centre assessment sign-off.</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LAUNCH_HUM_W14_Fieldwork_Enquiry_Write_Up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5B91A5"/>
        <w:sz w:val="18"/>
      </w:rPr>
      <w:t>LAUNCH  /  HUMANITIES    •    TEACHER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5B91A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5B91A5"/>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5B91A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5B91A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