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Repair</w:t>
                        </w:r>
                      </w:p>
                      <w:p>
                        <w:pPr>
                          <w:keepLines/>
                          <w:spacing w:after="60" w:before="0" w:line="247" w:lineRule="auto"/>
                        </w:pPr>
                        <w:r>
                          <w:rPr>
                            <w:rFonts w:ascii="Liberation Sans" w:hAnsi="Liberation Sans" w:eastAsia="Liberation Sans" w:cs="Liberation Sans"/>
                            <w:b w:val="0"/>
                            <w:color w:val="182B32"/>
                            <w:sz w:val="28"/>
                          </w:rPr>
                          <w:t>What did replacing the damaged panel address?</w:t>
                        </w:r>
                      </w:p>
                      <w:p>
                        <w:pPr>
                          <w:keepLines/>
                          <w:spacing w:after="60" w:before="0" w:line="247" w:lineRule="auto"/>
                          <w:shd w:fill="E4EFF9"/>
                        </w:pPr>
                        <w:r>
                          <w:rPr>
                            <w:rFonts w:ascii="Liberation Sans" w:hAnsi="Liberation Sans" w:eastAsia="Liberation Sans" w:cs="Liberation Sans"/>
                            <w:b w:val="0"/>
                            <w:color w:val="182B32"/>
                            <w:sz w:val="28"/>
                          </w:rPr>
                          <w:t>Clue: Think about the harm to the shared item.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Forgiveness</w:t>
                        </w:r>
                      </w:p>
                      <w:p>
                        <w:pPr>
                          <w:keepLines/>
                          <w:spacing w:after="60" w:before="0" w:line="247" w:lineRule="auto"/>
                        </w:pPr>
                        <w:r>
                          <w:rPr>
                            <w:rFonts w:ascii="Liberation Sans" w:hAnsi="Liberation Sans" w:eastAsia="Liberation Sans" w:cs="Liberation Sans"/>
                            <w:b w:val="0"/>
                            <w:color w:val="182B32"/>
                            <w:sz w:val="28"/>
                          </w:rPr>
                          <w:t>Did forgiveness require the group to meet?</w:t>
                        </w:r>
                      </w:p>
                      <w:p>
                        <w:pPr>
                          <w:keepLines/>
                          <w:spacing w:after="60" w:before="0" w:line="247" w:lineRule="auto"/>
                          <w:shd w:fill="E4EFF9"/>
                        </w:pPr>
                        <w:r>
                          <w:rPr>
                            <w:rFonts w:ascii="Liberation Sans" w:hAnsi="Liberation Sans" w:eastAsia="Liberation Sans" w:cs="Liberation Sans"/>
                            <w:b w:val="0"/>
                            <w:color w:val="182B32"/>
                            <w:sz w:val="28"/>
                          </w:rPr>
                          <w:t>Clue: Think about choice and boundaries.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Proportion</w:t>
                        </w:r>
                      </w:p>
                      <w:p>
                        <w:pPr>
                          <w:keepLines/>
                          <w:spacing w:after="60" w:before="0" w:line="247" w:lineRule="auto"/>
                        </w:pPr>
                        <w:r>
                          <w:rPr>
                            <w:rFonts w:ascii="Liberation Sans" w:hAnsi="Liberation Sans" w:eastAsia="Liberation Sans" w:cs="Liberation Sans"/>
                            <w:b w:val="0"/>
                            <w:color w:val="182B32"/>
                            <w:sz w:val="28"/>
                          </w:rPr>
                          <w:t>What made the pause different from a permanent ban?</w:t>
                        </w:r>
                      </w:p>
                      <w:p>
                        <w:pPr>
                          <w:keepLines/>
                          <w:spacing w:after="60" w:before="0" w:line="247" w:lineRule="auto"/>
                          <w:shd w:fill="E4EFF9"/>
                        </w:pPr>
                        <w:r>
                          <w:rPr>
                            <w:rFonts w:ascii="Liberation Sans" w:hAnsi="Liberation Sans" w:eastAsia="Liberation Sans" w:cs="Liberation Sans"/>
                            <w:b w:val="0"/>
                            <w:color w:val="182B32"/>
                            <w:sz w:val="28"/>
                          </w:rPr>
                          <w:t>Clue: Think about its duration and review.</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Can people share an action for different reasons?</w:t>
                        </w:r>
                      </w:p>
                      <w:p>
                        <w:pPr>
                          <w:keepLines/>
                          <w:spacing w:after="60" w:before="0" w:line="247" w:lineRule="auto"/>
                          <w:shd w:fill="E4EFF9"/>
                        </w:pPr>
                        <w:r>
                          <w:rPr>
                            <w:rFonts w:ascii="Liberation Sans" w:hAnsi="Liberation Sans" w:eastAsia="Liberation Sans" w:cs="Liberation Sans"/>
                            <w:b w:val="0"/>
                            <w:color w:val="182B32"/>
                            <w:sz w:val="28"/>
                          </w:rPr>
                          <w:t>Clue: Think about the reason behind a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comparison X3: one organiser cites a sacred teaching about care when supporting an accessible entrance. Another cites evidence that the entrance excludes some visitors and argues for equal access. Both support changing the entrance. These are supplied positions, not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What action do both organisers support?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one difference in their stated reasons.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Repair</w:t>
                        </w:r>
                      </w:p>
                      <w:p>
                        <w:pPr>
                          <w:keepLines/>
                          <w:spacing w:after="60" w:before="0" w:line="247" w:lineRule="auto"/>
                        </w:pPr>
                        <w:r>
                          <w:rPr>
                            <w:rFonts w:ascii="Liberation Sans" w:hAnsi="Liberation Sans" w:eastAsia="Liberation Sans" w:cs="Liberation Sans"/>
                            <w:b w:val="0"/>
                            <w:color w:val="182B32"/>
                            <w:sz w:val="28"/>
                          </w:rPr>
                          <w:t>How was repair different from the temporary pause?</w:t>
                        </w:r>
                      </w:p>
                      <w:p>
                        <w:pPr>
                          <w:keepLines/>
                          <w:spacing w:after="60" w:before="0" w:line="247" w:lineRule="auto"/>
                          <w:shd w:fill="E4EFF9"/>
                        </w:pPr>
                        <w:r>
                          <w:rPr>
                            <w:rFonts w:ascii="Liberation Sans" w:hAnsi="Liberation Sans" w:eastAsia="Liberation Sans" w:cs="Liberation Sans"/>
                            <w:b w:val="0"/>
                            <w:color w:val="182B32"/>
                            <w:sz w:val="28"/>
                          </w:rPr>
                          <w:t>Clue: Think about the harm to the shared item.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Forgiveness</w:t>
                        </w:r>
                      </w:p>
                      <w:p>
                        <w:pPr>
                          <w:keepLines/>
                          <w:spacing w:after="60" w:before="0" w:line="247" w:lineRule="auto"/>
                        </w:pPr>
                        <w:r>
                          <w:rPr>
                            <w:rFonts w:ascii="Liberation Sans" w:hAnsi="Liberation Sans" w:eastAsia="Liberation Sans" w:cs="Liberation Sans"/>
                            <w:b w:val="0"/>
                            <w:color w:val="182B32"/>
                            <w:sz w:val="28"/>
                          </w:rPr>
                          <w:t>Why did a possible apology not erase every consequence?</w:t>
                        </w:r>
                      </w:p>
                      <w:p>
                        <w:pPr>
                          <w:keepLines/>
                          <w:spacing w:after="60" w:before="0" w:line="247" w:lineRule="auto"/>
                          <w:shd w:fill="E4EFF9"/>
                        </w:pPr>
                        <w:r>
                          <w:rPr>
                            <w:rFonts w:ascii="Liberation Sans" w:hAnsi="Liberation Sans" w:eastAsia="Liberation Sans" w:cs="Liberation Sans"/>
                            <w:b w:val="0"/>
                            <w:color w:val="182B32"/>
                            <w:sz w:val="28"/>
                          </w:rPr>
                          <w:t>Clue: Think about choice and boundaries.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Proportion</w:t>
                        </w:r>
                      </w:p>
                      <w:p>
                        <w:pPr>
                          <w:keepLines/>
                          <w:spacing w:after="60" w:before="0" w:line="247" w:lineRule="auto"/>
                        </w:pPr>
                        <w:r>
                          <w:rPr>
                            <w:rFonts w:ascii="Liberation Sans" w:hAnsi="Liberation Sans" w:eastAsia="Liberation Sans" w:cs="Liberation Sans"/>
                            <w:b w:val="0"/>
                            <w:color w:val="182B32"/>
                            <w:sz w:val="28"/>
                          </w:rPr>
                          <w:t>Why did the response need a reason and review?</w:t>
                        </w:r>
                      </w:p>
                      <w:p>
                        <w:pPr>
                          <w:keepLines/>
                          <w:spacing w:after="60" w:before="0" w:line="247" w:lineRule="auto"/>
                          <w:shd w:fill="E4EFF9"/>
                        </w:pPr>
                        <w:r>
                          <w:rPr>
                            <w:rFonts w:ascii="Liberation Sans" w:hAnsi="Liberation Sans" w:eastAsia="Liberation Sans" w:cs="Liberation Sans"/>
                            <w:b w:val="0"/>
                            <w:color w:val="182B32"/>
                            <w:sz w:val="28"/>
                          </w:rPr>
                          <w:t>Clue: Think about its duration and review.</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should a comparison of two responses examine?</w:t>
                        </w:r>
                      </w:p>
                      <w:p>
                        <w:pPr>
                          <w:keepLines/>
                          <w:spacing w:after="60" w:before="0" w:line="247" w:lineRule="auto"/>
                          <w:shd w:fill="E4EFF9"/>
                        </w:pPr>
                        <w:r>
                          <w:rPr>
                            <w:rFonts w:ascii="Liberation Sans" w:hAnsi="Liberation Sans" w:eastAsia="Liberation Sans" w:cs="Liberation Sans"/>
                            <w:b w:val="0"/>
                            <w:color w:val="182B32"/>
                            <w:sz w:val="28"/>
                          </w:rPr>
                          <w:t>Clue: Think about the reason behind a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comparison X3: one organiser cites a sacred teaching about care when supporting an accessible entrance. Another cites evidence that the entrance excludes some visitors and argues for equal access. Both support changing the entrance. These are supplied positions, not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one similarity in the two positions.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one difference without claiming either group lacks care or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Repair</w:t>
                        </w:r>
                      </w:p>
                      <w:p>
                        <w:pPr>
                          <w:keepLines/>
                          <w:spacing w:after="60" w:before="0" w:line="247" w:lineRule="auto"/>
                        </w:pPr>
                        <w:r>
                          <w:rPr>
                            <w:rFonts w:ascii="Liberation Sans" w:hAnsi="Liberation Sans" w:eastAsia="Liberation Sans" w:cs="Liberation Sans"/>
                            <w:b w:val="0"/>
                            <w:color w:val="182B32"/>
                            <w:sz w:val="28"/>
                          </w:rPr>
                          <w:t>Why might repair alone leave a question about future use?</w:t>
                        </w:r>
                      </w:p>
                      <w:p>
                        <w:pPr>
                          <w:keepLines/>
                          <w:spacing w:after="60" w:before="0" w:line="247" w:lineRule="auto"/>
                          <w:shd w:fill="E4EFF9"/>
                        </w:pPr>
                        <w:r>
                          <w:rPr>
                            <w:rFonts w:ascii="Liberation Sans" w:hAnsi="Liberation Sans" w:eastAsia="Liberation Sans" w:cs="Liberation Sans"/>
                            <w:b w:val="0"/>
                            <w:color w:val="182B32"/>
                            <w:sz w:val="28"/>
                          </w:rPr>
                          <w:t>Clue: Think about the harm to the shared item.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Forgiveness</w:t>
                        </w:r>
                      </w:p>
                      <w:p>
                        <w:pPr>
                          <w:keepLines/>
                          <w:spacing w:after="60" w:before="0" w:line="247" w:lineRule="auto"/>
                        </w:pPr>
                        <w:r>
                          <w:rPr>
                            <w:rFonts w:ascii="Liberation Sans" w:hAnsi="Liberation Sans" w:eastAsia="Liberation Sans" w:cs="Liberation Sans"/>
                            <w:b w:val="0"/>
                            <w:color w:val="182B32"/>
                            <w:sz w:val="28"/>
                          </w:rPr>
                          <w:t>Distinguish forgiveness from removing a consequence in last week’s case.</w:t>
                        </w:r>
                      </w:p>
                      <w:p>
                        <w:pPr>
                          <w:keepLines/>
                          <w:spacing w:after="60" w:before="0" w:line="247" w:lineRule="auto"/>
                          <w:shd w:fill="E4EFF9"/>
                        </w:pPr>
                        <w:r>
                          <w:rPr>
                            <w:rFonts w:ascii="Liberation Sans" w:hAnsi="Liberation Sans" w:eastAsia="Liberation Sans" w:cs="Liberation Sans"/>
                            <w:b w:val="0"/>
                            <w:color w:val="182B32"/>
                            <w:sz w:val="28"/>
                          </w:rPr>
                          <w:t>Clue: Think about choice and boundaries.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Proportion</w:t>
                        </w:r>
                      </w:p>
                      <w:p>
                        <w:pPr>
                          <w:keepLines/>
                          <w:spacing w:after="60" w:before="0" w:line="247" w:lineRule="auto"/>
                        </w:pPr>
                        <w:r>
                          <w:rPr>
                            <w:rFonts w:ascii="Liberation Sans" w:hAnsi="Liberation Sans" w:eastAsia="Liberation Sans" w:cs="Liberation Sans"/>
                            <w:b w:val="0"/>
                            <w:color w:val="182B32"/>
                            <w:sz w:val="28"/>
                          </w:rPr>
                          <w:t>How could mercy and accountability both appear in the response?</w:t>
                        </w:r>
                      </w:p>
                      <w:p>
                        <w:pPr>
                          <w:keepLines/>
                          <w:spacing w:after="60" w:before="0" w:line="247" w:lineRule="auto"/>
                          <w:shd w:fill="E4EFF9"/>
                        </w:pPr>
                        <w:r>
                          <w:rPr>
                            <w:rFonts w:ascii="Liberation Sans" w:hAnsi="Liberation Sans" w:eastAsia="Liberation Sans" w:cs="Liberation Sans"/>
                            <w:b w:val="0"/>
                            <w:color w:val="182B32"/>
                            <w:sz w:val="28"/>
                          </w:rPr>
                          <w:t>Clue: Think about its duration and review.</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How could you compare worldviews without assuming each group is uniform?</w:t>
                        </w:r>
                      </w:p>
                      <w:p>
                        <w:pPr>
                          <w:keepLines/>
                          <w:spacing w:after="60" w:before="0" w:line="247" w:lineRule="auto"/>
                          <w:shd w:fill="E4EFF9"/>
                        </w:pPr>
                        <w:r>
                          <w:rPr>
                            <w:rFonts w:ascii="Liberation Sans" w:hAnsi="Liberation Sans" w:eastAsia="Liberation Sans" w:cs="Liberation Sans"/>
                            <w:b w:val="0"/>
                            <w:color w:val="182B32"/>
                            <w:sz w:val="28"/>
                          </w:rPr>
                          <w:t>Clue: Think about the reason behind a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comparison X3: one organiser cites a sacred teaching about care when supporting an accessible entrance. Another cites evidence that the entrance excludes some visitors and argues for equal access. Both support changing the entrance. These are supplied positions, not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how the same action can be supported by different stated grounds in X3.</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Evaluate whether X3 can establish what every member of either worldview would decide.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Two organisers agree to offer help. One refers to a sacred teaching; the other refers to reducing harm using evidence.</w:t>
                  </w:r>
                </w:p>
                <w:p>
                  <w:pPr>
                    <w:keepLines/>
                    <w:spacing w:after="60" w:before="0" w:line="247" w:lineRule="auto"/>
                  </w:pPr>
                  <w:r>
                    <w:rPr>
                      <w:rFonts w:ascii="Liberation Sans" w:hAnsi="Liberation Sans" w:eastAsia="Liberation Sans" w:cs="Liberation Sans"/>
                      <w:b w:val="0"/>
                      <w:color w:val="182B32"/>
                      <w:sz w:val="28"/>
                    </w:rPr>
                    <w:t>Question: Does agreeing on an action prove their reasons are identical?</w:t>
                  </w:r>
                </w:p>
                <w:p>
                  <w:pPr>
                    <w:keepLines/>
                    <w:spacing w:after="60" w:before="0" w:line="247" w:lineRule="auto"/>
                  </w:pPr>
                  <w:r>
                    <w:rPr>
                      <w:rFonts w:ascii="Liberation Sans" w:hAnsi="Liberation Sans" w:eastAsia="Liberation Sans" w:cs="Liberation Sans"/>
                      <w:b w:val="0"/>
                      <w:color w:val="182B32"/>
                      <w:sz w:val="28"/>
                    </w:rPr>
                    <w:t>In your book: record one brief choice or reason, unless passing.</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Attend to one model. Locate its claim, evidence and explanation.</w:t>
                  </w:r>
                </w:p>
                <w:p>
                  <w:pPr>
                    <w:keepLines/>
                    <w:spacing w:after="60" w:before="0" w:line="247" w:lineRule="auto"/>
                  </w:pPr>
                  <w:r>
                    <w:rPr>
                      <w:rFonts w:ascii="Liberation Sans" w:hAnsi="Liberation Sans" w:eastAsia="Liberation Sans" w:cs="Liberation Sans"/>
                      <w:b w:val="0"/>
                      <w:color w:val="182B32"/>
                      <w:sz w:val="28"/>
                    </w:rPr>
                    <w:t>In the two-organiser example, the similarity is the action of helping. The difference is the stated authority: a sacred teaching in one account and evidence about harm in the other. That difference does not show that religious people ignore evidence or that non-religious people lack values. A careful comparison names the actual reasons given.</w:t>
                  </w:r>
                </w:p>
                <w:p>
                  <w:pPr>
                    <w:keepLines/>
                    <w:spacing w:after="60" w:before="0" w:line="247" w:lineRule="auto"/>
                  </w:pPr>
                  <w:r>
                    <w:rPr>
                      <w:rFonts w:ascii="Liberation Sans" w:hAnsi="Liberation Sans" w:eastAsia="Liberation Sans" w:cs="Liberation Sans"/>
                      <w:b w:val="0"/>
                      <w:color w:val="182B32"/>
                      <w:sz w:val="28"/>
                    </w:rPr>
                    <w:t>In your book: keep one useful model link or vocabulary note, marked “model”; no copying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verbal feedback; WS = worked with support; I = independent; NS = one specific next step; E = evidence on the evidence app; R = responded: the loop is closed; // = self-edit point; ? = read this back to 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Compare the possible religious and non-religious responses in V4 to V3. Give one similarity, one difference in authority or reasoning, and a justified practical response. Use V1 and V2 as evidence. Use worldview, religious, non-religious and authority accurately. State what remains uncertain and acknowledge diversity; no personal worldview declaration is required.</w:t>
                  </w:r>
                </w:p>
                <w:p>
                  <w:pPr>
                    <w:keepLines/>
                    <w:spacing w:after="60" w:before="0" w:line="247" w:lineRule="auto"/>
                    <w:shd w:fill="E4EFF9"/>
                  </w:pPr>
                  <w:r>
                    <w:rPr>
                      <w:rFonts w:ascii="Liberation Sans" w:hAnsi="Liberation Sans" w:eastAsia="Liberation Sans" w:cs="Liberation Sans"/>
                      <w:b w:val="0"/>
                      <w:color w:val="182B32"/>
                      <w:sz w:val="28"/>
                    </w:rPr>
                    <w:t>Help: Compare the reasons actually supplied. Start with “In this account…” or “Some believers…” rather than a claim about everyone. A neutral alternative is to analyse the V3 organiser’s decision using V4 as supplied positions.</w:t>
                  </w:r>
                </w:p>
                <w:p>
                  <w:pPr>
                    <w:keepLines/>
                    <w:spacing w:after="60" w:before="0" w:line="247" w:lineRule="auto"/>
                  </w:pPr>
                  <w:r>
                    <w:rPr>
                      <w:rFonts w:ascii="Liberation Sans" w:hAnsi="Liberation Sans" w:eastAsia="Liberation Sans" w:cs="Liberation Sans"/>
                      <w:b w:val="0"/>
                      <w:color w:val="182B32"/>
                      <w:sz w:val="28"/>
                    </w:rPr>
                    <w:t>Blank record: Shared concern [ ] / V1 reason and authority [ ] / V2 reason and authority [ ] / Difference [ ] / Case application [ ] / Uncertainty and diversity [ ].</w:t>
                  </w:r>
                </w:p>
                <w:p>
                  <w:pPr>
                    <w:keepLines/>
                    <w:spacing w:after="60" w:before="0" w:line="247" w:lineRule="auto"/>
                  </w:pPr>
                  <w:r>
                    <w:rPr>
                      <w:rFonts w:ascii="Liberation Sans" w:hAnsi="Liberation Sans" w:eastAsia="Liberation Sans" w:cs="Liberation Sans"/>
                      <w:b w:val="0"/>
                      <w:color w:val="182B32"/>
                      <w:sz w:val="28"/>
                    </w:rPr>
                    <w:t>Review and improve: Check that each comparison has source support. Replace a universal or ranking claim with wording about the specified account and a precise reason.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Compare the possible religious and non-religious responses in V4 to V3. Give one similarity, one difference in authority or reasoning, and a justified practical response. Use V1 and V2 as evidence. Use worldview, religious, non-religious and authority accurately. State what remains uncertain and acknowledge diversity; no personal worldview declaration is required.</w:t>
                  </w:r>
                </w:p>
                <w:p>
                  <w:pPr>
                    <w:keepLines/>
                    <w:spacing w:after="60" w:before="0" w:line="247" w:lineRule="auto"/>
                  </w:pPr>
                  <w:r>
                    <w:rPr>
                      <w:rFonts w:ascii="Liberation Sans" w:hAnsi="Liberation Sans" w:eastAsia="Liberation Sans" w:cs="Liberation Sans"/>
                      <w:b w:val="0"/>
                      <w:color w:val="182B32"/>
                      <w:sz w:val="28"/>
                    </w:rPr>
                    <w:t>Steps: 1. Read one source strip. 2. Select the relevant detail. 3. Record your claim. 4. Explain its link. 5. Check one limit.</w:t>
                  </w:r>
                </w:p>
                <w:p>
                  <w:pPr>
                    <w:keepLines/>
                    <w:spacing w:after="60" w:before="0" w:line="247" w:lineRule="auto"/>
                  </w:pPr>
                  <w:r>
                    <w:rPr>
                      <w:rFonts w:ascii="Liberation Sans" w:hAnsi="Liberation Sans" w:eastAsia="Liberation Sans" w:cs="Liberation Sans"/>
                      <w:b w:val="0"/>
                      <w:color w:val="182B32"/>
                      <w:sz w:val="28"/>
                    </w:rPr>
                    <w:t>Planning words: worldview, religious, non-religious, authority.</w:t>
                  </w:r>
                </w:p>
                <w:p>
                  <w:pPr>
                    <w:keepLines/>
                    <w:spacing w:after="60" w:before="0" w:line="247" w:lineRule="auto"/>
                    <w:shd w:fill="E4EFF9"/>
                  </w:pPr>
                  <w:r>
                    <w:rPr>
                      <w:rFonts w:ascii="Liberation Sans" w:hAnsi="Liberation Sans" w:eastAsia="Liberation Sans" w:cs="Liberation Sans"/>
                      <w:b w:val="0"/>
                      <w:color w:val="182B32"/>
                      <w:sz w:val="28"/>
                    </w:rPr>
                    <w:t>Help: Compare the reasons actually supplied. Start with “In this account…” or “Some believers…” rather than a claim about everyone. A neutral alternative is to analyse the V3 organiser’s decision using V4 as supplied positions.</w:t>
                  </w:r>
                </w:p>
                <w:p>
                  <w:pPr>
                    <w:keepLines/>
                    <w:spacing w:after="60" w:before="0" w:line="247" w:lineRule="auto"/>
                  </w:pPr>
                  <w:r>
                    <w:rPr>
                      <w:rFonts w:ascii="Liberation Sans" w:hAnsi="Liberation Sans" w:eastAsia="Liberation Sans" w:cs="Liberation Sans"/>
                      <w:b w:val="0"/>
                      <w:color w:val="182B32"/>
                      <w:sz w:val="28"/>
                    </w:rPr>
                    <w:t>Blank record: Shared concern [ ] / V1 reason and authority [ ] / V2 reason and authority [ ] / Difference [ ] / Case application [ ] / Uncertainty and diversity [ ].</w:t>
                  </w:r>
                </w:p>
                <w:p>
                  <w:pPr>
                    <w:keepLines/>
                    <w:spacing w:after="60" w:before="0" w:line="247" w:lineRule="auto"/>
                  </w:pPr>
                  <w:r>
                    <w:rPr>
                      <w:rFonts w:ascii="Liberation Sans" w:hAnsi="Liberation Sans" w:eastAsia="Liberation Sans" w:cs="Liberation Sans"/>
                      <w:b w:val="0"/>
                      <w:color w:val="182B32"/>
                      <w:sz w:val="28"/>
                    </w:rPr>
                    <w:t>Review and improve: Check that each comparison has source support. Replace a universal or ranking claim with wording about the specified account and a precise reason.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Compare the possible religious and non-religious responses in V4 to V3. Give one similarity, one difference in authority or reasoning, and a justified practical response. Use V1 and V2 as evidence. Use worldview, religious, non-religious and authority accurately. State what remains uncertain and acknowledge diversity; no personal worldview declaration is required.</w:t>
                  </w:r>
                </w:p>
                <w:p>
                  <w:pPr>
                    <w:keepLines/>
                    <w:spacing w:after="60" w:before="0" w:line="247" w:lineRule="auto"/>
                  </w:pPr>
                  <w:r>
                    <w:rPr>
                      <w:rFonts w:ascii="Liberation Sans" w:hAnsi="Liberation Sans" w:eastAsia="Liberation Sans" w:cs="Liberation Sans"/>
                      <w:b w:val="0"/>
                      <w:color w:val="182B32"/>
                      <w:sz w:val="28"/>
                    </w:rPr>
                    <w:t>Choose a similarity: concern for need / identical authority. Choose a difference: source of authority / ability to care. Add your own reason using V1 and V2, then explain one case decision. Reject an unsupported choice with a reason.</w:t>
                  </w:r>
                </w:p>
                <w:p>
                  <w:pPr>
                    <w:keepLines/>
                    <w:spacing w:after="60" w:before="0" w:line="247" w:lineRule="auto"/>
                    <w:shd w:fill="E4EFF9"/>
                  </w:pPr>
                  <w:r>
                    <w:rPr>
                      <w:rFonts w:ascii="Liberation Sans" w:hAnsi="Liberation Sans" w:eastAsia="Liberation Sans" w:cs="Liberation Sans"/>
                      <w:b w:val="0"/>
                      <w:color w:val="182B32"/>
                      <w:sz w:val="28"/>
                    </w:rPr>
                    <w:t>Help: Compare the reasons actually supplied. Start with “In this account…” or “Some believers…” rather than a claim about everyone. A neutral alternative is to analyse the V3 organiser’s decision using V4 as supplied positions.</w:t>
                  </w:r>
                </w:p>
                <w:p>
                  <w:pPr>
                    <w:keepLines/>
                    <w:spacing w:after="60" w:before="0" w:line="247" w:lineRule="auto"/>
                  </w:pPr>
                  <w:r>
                    <w:rPr>
                      <w:rFonts w:ascii="Liberation Sans" w:hAnsi="Liberation Sans" w:eastAsia="Liberation Sans" w:cs="Liberation Sans"/>
                      <w:b w:val="0"/>
                      <w:color w:val="182B32"/>
                      <w:sz w:val="28"/>
                    </w:rPr>
                    <w:t>Blank record: Shared concern [ ] / V1 reason and authority [ ] / V2 reason and authority [ ] / Difference [ ] / Case application [ ] / Uncertainty and diversity [ ].</w:t>
                  </w:r>
                </w:p>
                <w:p>
                  <w:pPr>
                    <w:keepLines/>
                    <w:spacing w:after="60" w:before="0" w:line="247" w:lineRule="auto"/>
                  </w:pPr>
                  <w:r>
                    <w:rPr>
                      <w:rFonts w:ascii="Liberation Sans" w:hAnsi="Liberation Sans" w:eastAsia="Liberation Sans" w:cs="Liberation Sans"/>
                      <w:b w:val="0"/>
                      <w:color w:val="182B32"/>
                      <w:sz w:val="28"/>
                    </w:rPr>
                    <w:t>Review and improve: Check that each comparison has source support. Replace a universal or ranking claim with wording about the specified account and a precise reason.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Compare the possible religious and non-religious responses in V4 to V3. Give one similarity, one difference in authority or reasoning, and a justified practical response. Use V1 and V2 as evidence. Use worldview, religious, non-religious and authority accurately. State what remains uncertain and acknowledge diversity; no personal worldview declaration is required.</w:t>
                  </w:r>
                </w:p>
                <w:p>
                  <w:pPr>
                    <w:keepLines/>
                    <w:spacing w:after="60" w:before="0" w:line="247" w:lineRule="auto"/>
                  </w:pPr>
                  <w:r>
                    <w:rPr>
                      <w:rFonts w:ascii="Liberation Sans" w:hAnsi="Liberation Sans" w:eastAsia="Liberation Sans" w:cs="Liberation Sans"/>
                      <w:b w:val="0"/>
                      <w:color w:val="182B32"/>
                      <w:sz w:val="28"/>
                    </w:rPr>
                    <w:t>Aspire: Evaluate the claim “If the action is the same, worldview makes no difference.” Distinguish the observable action from its grounds, and acknowledge that individuals can draw on more than one reason.</w:t>
                  </w:r>
                </w:p>
                <w:p>
                  <w:pPr>
                    <w:keepLines/>
                    <w:spacing w:after="60" w:before="0" w:line="247" w:lineRule="auto"/>
                    <w:shd w:fill="E4EFF9"/>
                  </w:pPr>
                  <w:r>
                    <w:rPr>
                      <w:rFonts w:ascii="Liberation Sans" w:hAnsi="Liberation Sans" w:eastAsia="Liberation Sans" w:cs="Liberation Sans"/>
                      <w:b w:val="0"/>
                      <w:color w:val="182B32"/>
                      <w:sz w:val="28"/>
                    </w:rPr>
                    <w:t>Help: Compare the reasons actually supplied. Start with “In this account…” or “Some believers…” rather than a claim about everyone. A neutral alternative is to analyse the V3 organiser’s decision using V4 as supplied positions.</w:t>
                  </w:r>
                </w:p>
                <w:p>
                  <w:pPr>
                    <w:keepLines/>
                    <w:spacing w:after="60" w:before="0" w:line="247" w:lineRule="auto"/>
                  </w:pPr>
                  <w:r>
                    <w:rPr>
                      <w:rFonts w:ascii="Liberation Sans" w:hAnsi="Liberation Sans" w:eastAsia="Liberation Sans" w:cs="Liberation Sans"/>
                      <w:b w:val="0"/>
                      <w:color w:val="182B32"/>
                      <w:sz w:val="28"/>
                    </w:rPr>
                    <w:t>Blank record: Shared concern [ ] / V1 reason and authority [ ] / V2 reason and authority [ ] / Difference [ ] / Case application [ ] / Uncertainty and diversity [ ].</w:t>
                  </w:r>
                </w:p>
                <w:p>
                  <w:pPr>
                    <w:keepLines/>
                    <w:spacing w:after="60" w:before="0" w:line="247" w:lineRule="auto"/>
                  </w:pPr>
                  <w:r>
                    <w:rPr>
                      <w:rFonts w:ascii="Liberation Sans" w:hAnsi="Liberation Sans" w:eastAsia="Liberation Sans" w:cs="Liberation Sans"/>
                      <w:b w:val="0"/>
                      <w:color w:val="182B32"/>
                      <w:sz w:val="28"/>
                    </w:rPr>
                    <w:t>Review and improve: Check that each comparison has source support. Replace a universal or ranking claim with wording about the specified account and a precise reason.</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check</w:t>
                  </w:r>
                </w:p>
                <w:p>
                  <w:pPr>
                    <w:keepLines/>
                    <w:spacing w:after="60" w:before="0" w:line="247" w:lineRule="auto"/>
                  </w:pPr>
                  <w:r>
                    <w:rPr>
                      <w:rFonts w:ascii="Liberation Sans" w:hAnsi="Liberation Sans" w:eastAsia="Liberation Sans" w:cs="Liberation Sans"/>
                      <w:b w:val="0"/>
                      <w:color w:val="182B32"/>
                      <w:sz w:val="28"/>
                    </w:rPr>
                    <w:t>Use the named source to complete the empty spaces. Keep the claim within what the source can show.</w:t>
                  </w:r>
                </w:p>
                <w:p>
                  <w:pPr>
                    <w:keepLines/>
                    <w:spacing w:after="60" w:before="0" w:line="247" w:lineRule="auto"/>
                  </w:pPr>
                  <w:r>
                    <w:rPr>
                      <w:rFonts w:ascii="Liberation Sans" w:hAnsi="Liberation Sans" w:eastAsia="Liberation Sans" w:cs="Liberation Sans"/>
                      <w:b w:val="0"/>
                      <w:color w:val="182B32"/>
                      <w:sz w:val="28"/>
                    </w:rPr>
                    <w:t>A blank source box links to empty spaces for what it shows and what it cannot show.</w:t>
                  </w:r>
                </w:p>
                <w:p>
                  <w:pPr>
                    <w:keepLines/>
                    <w:spacing w:after="60" w:before="0" w:line="247" w:lineRule="auto"/>
                  </w:pPr>
                  <w:r>
                    <w:rPr>
                      <w:rFonts w:ascii="Liberation Sans" w:hAnsi="Liberation Sans" w:eastAsia="Liberation Sans" w:cs="Liberation Sans"/>
                      <w:b w:val="0"/>
                      <w:color w:val="182B32"/>
                      <w:sz w:val="28"/>
                    </w:rPr>
                    <w:t>picture #A5DCEF: the study panel behind the diagram</w:t>
                  </w:r>
                </w:p>
                <w:p>
                  <w:pPr>
                    <w:keepLines/>
                    <w:spacing w:after="60" w:before="0" w:line="247" w:lineRule="auto"/>
                  </w:pPr>
                  <w:r>
                    <w:rPr>
                      <w:rFonts w:ascii="Liberation Sans" w:hAnsi="Liberation Sans" w:eastAsia="Liberation Sans" w:cs="Liberation Sans"/>
                      <w:b w:val="0"/>
                      <w:color w:val="182B32"/>
                      <w:sz w:val="28"/>
                    </w:rPr>
                    <w:t>picture #17324D: diagram labels and links</w:t>
                  </w:r>
                </w:p>
                <w:p>
                  <w:pPr>
                    <w:keepLines/>
                    <w:spacing w:after="60" w:before="0" w:line="247" w:lineRule="auto"/>
                  </w:pPr>
                  <w:r>
                    <w:rPr>
                      <w:rFonts w:ascii="Liberation Sans" w:hAnsi="Liberation Sans" w:eastAsia="Liberation Sans" w:cs="Liberation Sans"/>
                      <w:b w:val="0"/>
                      <w:color w:val="182B32"/>
                      <w:sz w:val="28"/>
                    </w:rPr>
                    <w:t>picture #FFFFFF: empty source and claim spaces</w:t>
                  </w:r>
                </w:p>
                <w:p>
                  <w:pPr>
                    <w:spacing w:after="60"/>
                    <w:jc w:val="center"/>
                  </w:pPr>
                  <w:r>
                    <w:drawing>
                      <wp:inline distT="0" distB="0" distL="0" distR="0">
                        <wp:extent cx="4937142" cy="1728000"/>
                        <wp:docPr id="17" name="Lesson diagram" descr="A blank source box links to empty spaces for what it shows and what it cannot sh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 y="65000"/>
                                    <ns0:ext cx="170000" cy="80000"/>
                                  </ns0:xfrm>
                                  <ns0:custGeom>
                                    <ns0:avLst/>
                                    <ns0:gdLst/>
                                    <ns0:ahLst/>
                                    <ns0:cxnLst/>
                                    <ns0:rect l="0" t="0" r="r" b="b"/>
                                    <ns0:pathLst>
                                      <ns0:path w="170000" h="80000">
                                        <ns0:moveTo>
                                          <ns0:pt x="0" y="0"/>
                                        </ns0:moveTo>
                                        <ns0:lnTo>
                                          <ns0:pt x="170000" y="0"/>
                                        </ns0:lnTo>
                                        <ns0:lnTo>
                                          <ns0:pt x="170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3000" y="89000"/>
                                    <ns0:ext cx="68854" cy="26237"/>
                                  </ns0:xfrm>
                                  <ns0:prstGeom prst="rect">
                                    <ns0:avLst/>
                                  </ns0:prstGeom>
                                  <ns0:noFill/>
                                  <ns0:ln w="8228">
                                    <ns0:noFill/>
                                  </ns0:ln>
                                </wps:spPr>
                                <wps:txbx>
                                  <w:txbxContent>
                                    <w:p>
                                      <w:r>
                                        <w:rPr>
                                          <w:rFonts w:ascii="Liberation Sans" w:hAnsi="Liberation Sans" w:eastAsia="Liberation Sans" w:cs="Liberation Sans"/>
                                          <w:sz w:val="28"/>
                                          <w:color w:val="17324d"/>
                                        </w:rPr>
                                        <w:t>source</w:t>
                                      </w:r>
                                    </w:p>
                                  </w:txbxContent>
                                </wps:txbx>
                                <wps:bodyPr lIns="0" tIns="0" rIns="0" bIns="0" anchor="t">
                                  <ns0:noAutofit/>
                                </wps:bodyPr>
                              </wps:wsp>
                              <wps:wsp>
                                <wps:cNvSpPr txBox="0"/>
                                <wps:spPr>
                                  <ns0:xfrm flipV="1">
                                    <ns0:off x="195000" y="5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195000" y="10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1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10000" y="15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34000" y="39000"/>
                                    <ns0:ext cx="65246" cy="26237"/>
                                  </ns0:xfrm>
                                  <ns0:prstGeom prst="rect">
                                    <ns0:avLst/>
                                  </ns0:prstGeom>
                                  <ns0:noFill/>
                                  <ns0:ln w="8228">
                                    <ns0:noFill/>
                                  </ns0:ln>
                                </wps:spPr>
                                <wps:txbx>
                                  <w:txbxContent>
                                    <w:p>
                                      <w:r>
                                        <w:rPr>
                                          <w:rFonts w:ascii="Liberation Sans" w:hAnsi="Liberation Sans" w:eastAsia="Liberation Sans" w:cs="Liberation Sans"/>
                                          <w:sz w:val="28"/>
                                          <w:color w:val="17324d"/>
                                        </w:rPr>
                                        <w:t>shows</w:t>
                                      </w:r>
                                    </w:p>
                                  </w:txbxContent>
                                </wps:txbx>
                                <wps:bodyPr lIns="0" tIns="0" rIns="0" bIns="0" anchor="t">
                                  <ns0:noAutofit/>
                                </wps:bodyPr>
                              </wps:wsp>
                              <wps:wsp>
                                <wps:cNvSpPr txBox="0"/>
                                <wps:spPr>
                                  <ns0:xfrm>
                                    <ns0:off x="310000" y="120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18000" y="145000"/>
                                    <ns0:ext cx="125321" cy="26237"/>
                                  </ns0:xfrm>
                                  <ns0:prstGeom prst="rect">
                                    <ns0:avLst/>
                                  </ns0:prstGeom>
                                  <ns0:noFill/>
                                  <ns0:ln w="8228">
                                    <ns0:noFill/>
                                  </ns0:ln>
                                </wps:spPr>
                                <wps:txbx>
                                  <w:txbxContent>
                                    <w:p>
                                      <w:r>
                                        <w:rPr>
                                          <w:rFonts w:ascii="Liberation Sans" w:hAnsi="Liberation Sans" w:eastAsia="Liberation Sans" w:cs="Liberation Sans"/>
                                          <w:sz w:val="28"/>
                                          <w:color w:val="17324d"/>
                                        </w:rPr>
                                        <w:t>cannot show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V1 · Christian source account</w:t>
                        </w:r>
                      </w:p>
                      <w:p>
                        <w:pPr>
                          <w:keepLines/>
                          <w:spacing w:after="60" w:before="0" w:line="247" w:lineRule="auto"/>
                        </w:pPr>
                        <w:r>
                          <w:rPr>
                            <w:rFonts w:ascii="Liberation Sans" w:hAnsi="Liberation Sans" w:eastAsia="Liberation Sans" w:cs="Liberation Sans"/>
                            <w:b w:val="0"/>
                            <w:color w:val="182B32"/>
                            <w:sz w:val="28"/>
                          </w:rPr>
                          <w:t>The adapted Christian caring parable describes a helper crossing a community boundary to care for a traveller. Some believers treat this sacred-text teaching as an authority for neighbour-love and mercy. Christians also reason about evidence and consequences; reading a sacred text does not make every practical decision identical.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V2 · Humanist source account</w:t>
                        </w:r>
                      </w:p>
                      <w:p>
                        <w:pPr>
                          <w:keepLines/>
                          <w:spacing w:after="60" w:before="0" w:line="247" w:lineRule="auto"/>
                        </w:pPr>
                        <w:r>
                          <w:rPr>
                            <w:rFonts w:ascii="Liberation Sans" w:hAnsi="Liberation Sans" w:eastAsia="Liberation Sans" w:cs="Liberation Sans"/>
                            <w:b w:val="0"/>
                            <w:color w:val="182B32"/>
                            <w:sz w:val="28"/>
                          </w:rPr>
                          <w:t>This humanist organisation describes a non-religious approach using evidence, reason, empathy and discussion. It values wellbeing in this life and concern for people, other animals and the world. Some humanists use these grounds when deciding how to help. This account does not represent every non-religious person.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V3 · Authored community case; not testimony</w:t>
                        </w:r>
                      </w:p>
                      <w:p>
                        <w:pPr>
                          <w:keepLines/>
                          <w:spacing w:after="60" w:before="0" w:line="247" w:lineRule="auto"/>
                        </w:pPr>
                        <w:r>
                          <w:rPr>
                            <w:rFonts w:ascii="Liberation Sans" w:hAnsi="Liberation Sans" w:eastAsia="Liberation Sans" w:cs="Liberation Sans"/>
                            <w:b w:val="0"/>
                            <w:color w:val="182B32"/>
                            <w:sz w:val="28"/>
                          </w:rPr>
                          <w:t>A community food store has one parcel left today. One household requested it first; another has no food available until tomorrow. The organiser has checked both requests, but does not know whether the first household has another safe source today. A delivery is expected tomorrow, but is not guaranteed. No pupil is asked about food or family circumstances.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2D7F5"/>
                      </w:tcPr>
                      <w:p>
                        <w:pPr>
                          <w:spacing w:after="60"/>
                          <w:shd w:fill="FFFFFF"/>
                        </w:pPr>
                        <w:r>
                          <w:rPr>
                            <w:rFonts w:ascii="Liberation Sans" w:hAnsi="Liberation Sans" w:eastAsia="Liberation Sans" w:cs="Liberation Sans"/>
                            <w:b/>
                            <w:color w:val="182B32"/>
                            <w:sz w:val="28"/>
                          </w:rPr>
                          <w:t>V4 · Two authored applications; not quotations</w:t>
                        </w:r>
                      </w:p>
                      <w:p>
                        <w:pPr>
                          <w:keepLines/>
                          <w:spacing w:after="60" w:before="0" w:line="247" w:lineRule="auto"/>
                        </w:pPr>
                        <w:r>
                          <w:rPr>
                            <w:rFonts w:ascii="Liberation Sans" w:hAnsi="Liberation Sans" w:eastAsia="Liberation Sans" w:cs="Liberation Sans"/>
                            <w:b w:val="0"/>
                            <w:color w:val="182B32"/>
                            <w:sz w:val="28"/>
                          </w:rPr>
                          <w:t>Application A uses the Christian caring account to argue for attending to urgent need beyond one’s own group. Application B uses the humanist account to compare likely harm, listen to both households and check alternatives. Both suggest checking the missing fact before deciding. These are possible applications of the sources, not invented testimony or claims that every believer or humanist would choose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B7E5DF"/>
                </w:tcPr>
                <w:p>
                  <w:pPr>
                    <w:spacing w:after="60"/>
                    <w:shd w:fill="FFFFFF"/>
                  </w:pPr>
                  <w:r>
                    <w:rPr>
                      <w:rFonts w:ascii="Liberation Sans" w:hAnsi="Liberation Sans" w:eastAsia="Liberation Sans" w:cs="Liberation Sans"/>
                      <w:b/>
                      <w:color w:val="182B32"/>
                      <w:sz w:val="28"/>
                    </w:rPr>
                    <w:t>V5 · Comparison boundary</w:t>
                  </w:r>
                </w:p>
                <w:p>
                  <w:pPr>
                    <w:keepLines/>
                    <w:spacing w:after="60" w:before="0" w:line="247" w:lineRule="auto"/>
                  </w:pPr>
                  <w:r>
                    <w:rPr>
                      <w:rFonts w:ascii="Liberation Sans" w:hAnsi="Liberation Sans" w:eastAsia="Liberation Sans" w:cs="Liberation Sans"/>
                      <w:b w:val="0"/>
                      <w:color w:val="182B32"/>
                      <w:sz w:val="28"/>
                    </w:rPr>
                    <w:t>Compare what a reason appeals to and what action it supports. A shared action need not have an identical source of authority. A difference in reasoning does not justify ranking people or assuming that only one group can care.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worldview</w:t>
                  </w:r>
                </w:p>
                <w:p>
                  <w:pPr>
                    <w:keepLines/>
                    <w:spacing w:after="60" w:before="0" w:line="247" w:lineRule="auto"/>
                  </w:pPr>
                  <w:r>
                    <w:rPr>
                      <w:rFonts w:ascii="Liberation Sans" w:hAnsi="Liberation Sans" w:eastAsia="Liberation Sans" w:cs="Liberation Sans"/>
                      <w:b w:val="0"/>
                      <w:color w:val="182B32"/>
                      <w:sz w:val="28"/>
                    </w:rPr>
                    <w:t>a way of understanding life and making sense of values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religious</w:t>
                  </w:r>
                </w:p>
                <w:p>
                  <w:pPr>
                    <w:keepLines/>
                    <w:spacing w:after="60" w:before="0" w:line="247" w:lineRule="auto"/>
                  </w:pPr>
                  <w:r>
                    <w:rPr>
                      <w:rFonts w:ascii="Liberation Sans" w:hAnsi="Liberation Sans" w:eastAsia="Liberation Sans" w:cs="Liberation Sans"/>
                      <w:b w:val="0"/>
                      <w:color w:val="182B32"/>
                      <w:sz w:val="28"/>
                    </w:rPr>
                    <w:t>connected with a religion, its beliefs or practices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non-religious</w:t>
                  </w:r>
                </w:p>
                <w:p>
                  <w:pPr>
                    <w:keepLines/>
                    <w:spacing w:after="60" w:before="0" w:line="247" w:lineRule="auto"/>
                  </w:pPr>
                  <w:r>
                    <w:rPr>
                      <w:rFonts w:ascii="Liberation Sans" w:hAnsi="Liberation Sans" w:eastAsia="Liberation Sans" w:cs="Liberation Sans"/>
                      <w:b w:val="0"/>
                      <w:color w:val="182B32"/>
                      <w:sz w:val="28"/>
                    </w:rPr>
                    <w:t>not based on a religion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authority</w:t>
                  </w:r>
                </w:p>
                <w:p>
                  <w:pPr>
                    <w:keepLines/>
                    <w:spacing w:after="60" w:before="0" w:line="247" w:lineRule="auto"/>
                  </w:pPr>
                  <w:r>
                    <w:rPr>
                      <w:rFonts w:ascii="Liberation Sans" w:hAnsi="Liberation Sans" w:eastAsia="Liberation Sans" w:cs="Liberation Sans"/>
                      <w:b w:val="0"/>
                      <w:color w:val="182B32"/>
                      <w:sz w:val="28"/>
                    </w:rPr>
                    <w:t>a source treated as a guide or reason for a judgement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6"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vocabulary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worldview</w:t>
                  </w:r>
                </w:p>
                <w:p>
                  <w:pPr>
                    <w:keepLines/>
                    <w:spacing w:after="60" w:before="0" w:line="247" w:lineRule="auto"/>
                  </w:pPr>
                  <w:r>
                    <w:rPr>
                      <w:rFonts w:ascii="Liberation Sans" w:hAnsi="Liberation Sans" w:eastAsia="Liberation Sans" w:cs="Liberation Sans"/>
                      <w:b w:val="0"/>
                      <w:color w:val="182B32"/>
                      <w:sz w:val="28"/>
                    </w:rPr>
                    <w:t>a way of understanding life and making sense of values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8"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religious</w:t>
                  </w:r>
                </w:p>
                <w:p>
                  <w:pPr>
                    <w:keepLines/>
                    <w:spacing w:after="60" w:before="0" w:line="247" w:lineRule="auto"/>
                  </w:pPr>
                  <w:r>
                    <w:rPr>
                      <w:rFonts w:ascii="Liberation Sans" w:hAnsi="Liberation Sans" w:eastAsia="Liberation Sans" w:cs="Liberation Sans"/>
                      <w:b w:val="0"/>
                      <w:color w:val="182B32"/>
                      <w:sz w:val="28"/>
                    </w:rPr>
                    <w:t>connected with a religion, its beliefs or practices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0"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non-religious</w:t>
                  </w:r>
                </w:p>
                <w:p>
                  <w:pPr>
                    <w:keepLines/>
                    <w:spacing w:after="60" w:before="0" w:line="247" w:lineRule="auto"/>
                  </w:pPr>
                  <w:r>
                    <w:rPr>
                      <w:rFonts w:ascii="Liberation Sans" w:hAnsi="Liberation Sans" w:eastAsia="Liberation Sans" w:cs="Liberation Sans"/>
                      <w:b w:val="0"/>
                      <w:color w:val="182B32"/>
                      <w:sz w:val="28"/>
                    </w:rPr>
                    <w:t>not based on a religion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2"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authority</w:t>
                  </w:r>
                </w:p>
                <w:p>
                  <w:pPr>
                    <w:keepLines/>
                    <w:spacing w:after="60" w:before="0" w:line="247" w:lineRule="auto"/>
                  </w:pPr>
                  <w:r>
                    <w:rPr>
                      <w:rFonts w:ascii="Liberation Sans" w:hAnsi="Liberation Sans" w:eastAsia="Liberation Sans" w:cs="Liberation Sans"/>
                      <w:b w:val="0"/>
                      <w:color w:val="182B32"/>
                      <w:sz w:val="28"/>
                    </w:rPr>
                    <w:t>a source treated as a guide or reason for a judgement</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4"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1. Use V1, V2 and V4. Record one shared concern and one difference in the stated grounds.</w:t>
                  </w:r>
                </w:p>
                <w:p>
                  <w:pPr>
                    <w:keepLines/>
                    <w:spacing w:after="60" w:before="0" w:line="247" w:lineRule="auto"/>
                  </w:pPr>
                  <w:r>
                    <w:rPr>
                      <w:rFonts w:ascii="Liberation Sans" w:hAnsi="Liberation Sans" w:eastAsia="Liberation Sans" w:cs="Liberation Sans"/>
                      <w:b w:val="0"/>
                      <w:color w:val="182B32"/>
                      <w:sz w:val="28"/>
                    </w:rPr>
                    <w:t>2. Apply the comparison to one V3 fact. Explain why the missing fact matters to both applications.</w:t>
                  </w:r>
                </w:p>
                <w:p>
                  <w:pPr>
                    <w:keepLines/>
                    <w:spacing w:after="60" w:before="0" w:line="247" w:lineRule="auto"/>
                  </w:pPr>
                  <w:r>
                    <w:rPr>
                      <w:rFonts w:ascii="Liberation Sans" w:hAnsi="Liberation Sans" w:eastAsia="Liberation Sans" w:cs="Liberation Sans"/>
                      <w:b w:val="0"/>
                      <w:color w:val="182B32"/>
                      <w:sz w:val="28"/>
                    </w:rPr>
                    <w:t>3. Add a sentence that protects diversity within each worldview.</w:t>
                  </w:r>
                </w:p>
                <w:p>
                  <w:pPr>
                    <w:keepLines/>
                    <w:spacing w:after="60" w:before="0" w:line="247" w:lineRule="auto"/>
                  </w:pPr>
                  <w:r>
                    <w:rPr>
                      <w:rFonts w:ascii="Liberation Sans" w:hAnsi="Liberation Sans" w:eastAsia="Liberation Sans" w:cs="Liberation Sans"/>
                      <w:b w:val="0"/>
                      <w:color w:val="182B32"/>
                      <w:sz w:val="28"/>
                    </w:rPr>
                    <w:t>In your book: record one guided example and one pupil-owned explanation or correction.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V1 · Christian source account</w:t>
                        </w:r>
                      </w:p>
                      <w:p>
                        <w:pPr>
                          <w:keepLines/>
                          <w:spacing w:after="60" w:before="0" w:line="247" w:lineRule="auto"/>
                        </w:pPr>
                        <w:r>
                          <w:rPr>
                            <w:rFonts w:ascii="Liberation Sans" w:hAnsi="Liberation Sans" w:eastAsia="Liberation Sans" w:cs="Liberation Sans"/>
                            <w:b w:val="0"/>
                            <w:color w:val="182B32"/>
                            <w:sz w:val="28"/>
                          </w:rPr>
                          <w:t>The adapted Christian caring parable describes a helper crossing a community boundary to care for a traveller. Some believers treat this sacred-text teaching as an authority for neighbour-love and mercy. Christians also reason about evidence and consequences; reading a sacred text does not make every practical decision identical.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V2 · Humanist source account</w:t>
                        </w:r>
                      </w:p>
                      <w:p>
                        <w:pPr>
                          <w:keepLines/>
                          <w:spacing w:after="60" w:before="0" w:line="247" w:lineRule="auto"/>
                        </w:pPr>
                        <w:r>
                          <w:rPr>
                            <w:rFonts w:ascii="Liberation Sans" w:hAnsi="Liberation Sans" w:eastAsia="Liberation Sans" w:cs="Liberation Sans"/>
                            <w:b w:val="0"/>
                            <w:color w:val="182B32"/>
                            <w:sz w:val="28"/>
                          </w:rPr>
                          <w:t>This humanist organisation describes a non-religious approach using evidence, reason, empathy and discussion. It values wellbeing in this life and concern for people, other animals and the world. Some humanists use these grounds when deciding how to help. This account does not represent every non-religious person.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811"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3 · LAUNCH-RE-S1-W03 · Date __________</w:t>
            </w:r>
          </w:p>
          <w:p>
            <w:pPr>
              <w:spacing w:after="40"/>
            </w:pPr>
            <w:r>
              <w:rPr>
                <w:rFonts w:ascii="Liberation Sans" w:hAnsi="Liberation Sans" w:eastAsia="Liberation Sans" w:cs="Liberation Sans"/>
                <w:b/>
                <w:color w:val="182B32"/>
                <w:sz w:val="32"/>
              </w:rPr>
              <w:t>How can different worldviews support care and justice?</w:t>
            </w:r>
          </w:p>
          <w:p>
            <w:pPr>
              <w:spacing w:after="40"/>
              <w:shd w:fill="FFE4C8"/>
            </w:pPr>
            <w:r>
              <w:rPr>
                <w:rFonts w:ascii="Liberation Sans" w:hAnsi="Liberation Sans" w:eastAsia="Liberation Sans" w:cs="Liberation Sans"/>
                <w:b w:val="0"/>
                <w:color w:val="182B32"/>
                <w:sz w:val="28"/>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V3 · Authored community case; not testimony</w:t>
                        </w:r>
                      </w:p>
                      <w:p>
                        <w:pPr>
                          <w:keepLines/>
                          <w:spacing w:after="60" w:before="0" w:line="247" w:lineRule="auto"/>
                        </w:pPr>
                        <w:r>
                          <w:rPr>
                            <w:rFonts w:ascii="Liberation Sans" w:hAnsi="Liberation Sans" w:eastAsia="Liberation Sans" w:cs="Liberation Sans"/>
                            <w:b w:val="0"/>
                            <w:color w:val="182B32"/>
                            <w:sz w:val="28"/>
                          </w:rPr>
                          <w:t>A community food store has one parcel left today. One household requested it first; another has no food available until tomorrow. The organiser has checked both requests, but does not know whether the first household has another safe source today. A delivery is expected tomorrow, but is not guaranteed. No pupil is asked about food or family circumstances.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V4 · Two authored applications; not quotations</w:t>
                        </w:r>
                      </w:p>
                      <w:p>
                        <w:pPr>
                          <w:keepLines/>
                          <w:spacing w:after="60" w:before="0" w:line="247" w:lineRule="auto"/>
                        </w:pPr>
                        <w:r>
                          <w:rPr>
                            <w:rFonts w:ascii="Liberation Sans" w:hAnsi="Liberation Sans" w:eastAsia="Liberation Sans" w:cs="Liberation Sans"/>
                            <w:b w:val="0"/>
                            <w:color w:val="182B32"/>
                            <w:sz w:val="28"/>
                          </w:rPr>
                          <w:t>Application A uses the Christian caring account to argue for attending to urgent need beyond one’s own group. Application B uses the humanist account to compare likely harm, listen to both households and check alternatives. Both suggest checking the missing fact before deciding. These are possible applications of the sources, not invented testimony or claims that every believer or humanist would choose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V5 · Comparison boundary</w:t>
                        </w:r>
                      </w:p>
                      <w:p>
                        <w:pPr>
                          <w:keepLines/>
                          <w:spacing w:after="60" w:before="0" w:line="247" w:lineRule="auto"/>
                        </w:pPr>
                        <w:r>
                          <w:rPr>
                            <w:rFonts w:ascii="Liberation Sans" w:hAnsi="Liberation Sans" w:eastAsia="Liberation Sans" w:cs="Liberation Sans"/>
                            <w:b w:val="0"/>
                            <w:color w:val="182B32"/>
                            <w:sz w:val="28"/>
                          </w:rPr>
                          <w:t>Compare what a reason appeals to and what action it supports. A shared action need not have an identical source of authority. A difference in reasoning does not justify ranking people or assuming that only one group can care.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Last lesson distinguished justice, punishment, repair and forgiveness. A proportionate response used checked facts, repair and a reviewed boundary. The affected group could decline a meeting. Forgiveness or an apology was not compulsory and did not automatically remove consequences.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It repaired the material damage.</w:t>
                  </w:r>
                </w:p>
                <w:p>
                  <w:pPr>
                    <w:keepLines/>
                    <w:spacing w:after="60" w:before="0" w:line="247" w:lineRule="auto"/>
                  </w:pPr>
                  <w:r>
                    <w:rPr>
                      <w:rFonts w:ascii="Liberation Sans" w:hAnsi="Liberation Sans" w:eastAsia="Liberation Sans" w:cs="Liberation Sans"/>
                      <w:b w:val="0"/>
                      <w:color w:val="182B32"/>
                      <w:sz w:val="22"/>
                    </w:rPr>
                    <w:t>2. No. The group could decline a meeting; forgiveness was not compelled.</w:t>
                  </w:r>
                </w:p>
                <w:p>
                  <w:pPr>
                    <w:keepLines/>
                    <w:spacing w:after="60" w:before="0" w:line="247" w:lineRule="auto"/>
                  </w:pPr>
                  <w:r>
                    <w:rPr>
                      <w:rFonts w:ascii="Liberation Sans" w:hAnsi="Liberation Sans" w:eastAsia="Liberation Sans" w:cs="Liberation Sans"/>
                      <w:b w:val="0"/>
                      <w:color w:val="182B32"/>
                      <w:sz w:val="22"/>
                    </w:rPr>
                    <w:t>3. It was temporary, linked to safe use and had a review point.</w:t>
                  </w:r>
                </w:p>
                <w:p>
                  <w:pPr>
                    <w:keepLines/>
                    <w:spacing w:after="60" w:before="0" w:line="247" w:lineRule="auto"/>
                  </w:pPr>
                  <w:r>
                    <w:rPr>
                      <w:rFonts w:ascii="Liberation Sans" w:hAnsi="Liberation Sans" w:eastAsia="Liberation Sans" w:cs="Liberation Sans"/>
                      <w:b w:val="0"/>
                      <w:color w:val="182B32"/>
                      <w:sz w:val="22"/>
                    </w:rPr>
                    <w:t>4. Yes; different values or authorities can support a shared action.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Repair addressed the damaged panel; the pause addressed safe use/accountability pending review.</w:t>
                  </w:r>
                </w:p>
                <w:p>
                  <w:pPr>
                    <w:keepLines/>
                    <w:spacing w:after="60" w:before="0" w:line="247" w:lineRule="auto"/>
                  </w:pPr>
                  <w:r>
                    <w:rPr>
                      <w:rFonts w:ascii="Liberation Sans" w:hAnsi="Liberation Sans" w:eastAsia="Liberation Sans" w:cs="Liberation Sans"/>
                      <w:b w:val="0"/>
                      <w:color w:val="182B32"/>
                      <w:sz w:val="22"/>
                    </w:rPr>
                    <w:t>2. An apology alone did not repair the lost item/time or show that safety and trust had been restored.</w:t>
                  </w:r>
                </w:p>
                <w:p>
                  <w:pPr>
                    <w:keepLines/>
                    <w:spacing w:after="60" w:before="0" w:line="247" w:lineRule="auto"/>
                  </w:pPr>
                  <w:r>
                    <w:rPr>
                      <w:rFonts w:ascii="Liberation Sans" w:hAnsi="Liberation Sans" w:eastAsia="Liberation Sans" w:cs="Liberation Sans"/>
                      <w:b w:val="0"/>
                      <w:color w:val="182B32"/>
                      <w:sz w:val="22"/>
                    </w:rPr>
                    <w:t>3. It had to relate to the checked action and purpose, and change if safe-use evidence changed.</w:t>
                  </w:r>
                </w:p>
                <w:p>
                  <w:pPr>
                    <w:keepLines/>
                    <w:spacing w:after="60" w:before="0" w:line="247" w:lineRule="auto"/>
                  </w:pPr>
                  <w:r>
                    <w:rPr>
                      <w:rFonts w:ascii="Liberation Sans" w:hAnsi="Liberation Sans" w:eastAsia="Liberation Sans" w:cs="Liberation Sans"/>
                      <w:b w:val="0"/>
                      <w:color w:val="182B32"/>
                      <w:sz w:val="22"/>
                    </w:rPr>
                    <w:t>4. The actions, reasons, source of authority and relevant case facts, rather than only labels.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Replacing an item does not establish that safe-use concerns or trust have been addressed; a proportionate review may still be needed.</w:t>
                  </w:r>
                </w:p>
                <w:p>
                  <w:pPr>
                    <w:keepLines/>
                    <w:spacing w:after="60" w:before="0" w:line="247" w:lineRule="auto"/>
                  </w:pPr>
                  <w:r>
                    <w:rPr>
                      <w:rFonts w:ascii="Liberation Sans" w:hAnsi="Liberation Sans" w:eastAsia="Liberation Sans" w:cs="Liberation Sans"/>
                      <w:b w:val="0"/>
                      <w:color w:val="182B32"/>
                      <w:sz w:val="22"/>
                    </w:rPr>
                    <w:t>2. Forgiveness is a possible personal response. It does not by itself repair damage or remove a justified consequence; accountability concerns the admitted action, repair and safe-use review.</w:t>
                  </w:r>
                </w:p>
                <w:p>
                  <w:pPr>
                    <w:keepLines/>
                    <w:spacing w:after="60" w:before="0" w:line="247" w:lineRule="auto"/>
                  </w:pPr>
                  <w:r>
                    <w:rPr>
                      <w:rFonts w:ascii="Liberation Sans" w:hAnsi="Liberation Sans" w:eastAsia="Liberation Sans" w:cs="Liberation Sans"/>
                      <w:b w:val="0"/>
                      <w:color w:val="182B32"/>
                      <w:sz w:val="22"/>
                    </w:rPr>
                    <w:t>3. A temporary reviewed opportunity to return can show mercy while keeping repair and a justified boundary. Mercy need not remove every consequence.</w:t>
                  </w:r>
                </w:p>
                <w:p>
                  <w:pPr>
                    <w:keepLines/>
                    <w:spacing w:after="60" w:before="0" w:line="247" w:lineRule="auto"/>
                  </w:pPr>
                  <w:r>
                    <w:rPr>
                      <w:rFonts w:ascii="Liberation Sans" w:hAnsi="Liberation Sans" w:eastAsia="Liberation Sans" w:cs="Liberation Sans"/>
                      <w:b w:val="0"/>
                      <w:color w:val="182B32"/>
                      <w:sz w:val="22"/>
                    </w:rPr>
                    <w:t>4. Attribute claims to the supplied accounts or some people, compare reasons and acknowledge variation within each worldview.</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Both support changing the entrance to make access possible.</w:t>
                  </w:r>
                </w:p>
                <w:p>
                  <w:pPr>
                    <w:keepLines/>
                    <w:spacing w:after="60" w:before="0" w:line="247" w:lineRule="auto"/>
                  </w:pPr>
                  <w:r>
                    <w:rPr>
                      <w:rFonts w:ascii="Liberation Sans" w:hAnsi="Liberation Sans" w:eastAsia="Liberation Sans" w:cs="Liberation Sans"/>
                      <w:b w:val="0"/>
                      <w:color w:val="182B32"/>
                      <w:sz w:val="22"/>
                    </w:rPr>
                    <w:t>2. One explicitly cites a sacred teaching about care; the other cites evidence of exclusion and equal access.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Both support accessible entry and concern for people excluded; explain the shared action or concern.</w:t>
                  </w:r>
                </w:p>
                <w:p>
                  <w:pPr>
                    <w:keepLines/>
                    <w:spacing w:after="60" w:before="0" w:line="247" w:lineRule="auto"/>
                  </w:pPr>
                  <w:r>
                    <w:rPr>
                      <w:rFonts w:ascii="Liberation Sans" w:hAnsi="Liberation Sans" w:eastAsia="Liberation Sans" w:cs="Liberation Sans"/>
                      <w:b w:val="0"/>
                      <w:color w:val="182B32"/>
                      <w:sz w:val="22"/>
                    </w:rPr>
                    <w:t>2. The stated authority differs. This does not show the first ignores evidence or the second lacks values.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 sacred teaching and evidence-based equal-access argument can converge on changing the entrance; shared action does not make grounds identical.</w:t>
                  </w:r>
                </w:p>
                <w:p>
                  <w:pPr>
                    <w:keepLines/>
                    <w:spacing w:after="60" w:before="0" w:line="247" w:lineRule="auto"/>
                  </w:pPr>
                  <w:r>
                    <w:rPr>
                      <w:rFonts w:ascii="Liberation Sans" w:hAnsi="Liberation Sans" w:eastAsia="Liberation Sans" w:cs="Liberation Sans"/>
                      <w:b w:val="0"/>
                      <w:color w:val="182B32"/>
                      <w:sz w:val="22"/>
                    </w:rPr>
                    <w:t>2. No. X3 gives two supplied positions, not evidence about every member. Acknowledge within-worldview variation.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No. The action can be shared while the grounds or source of authority differ.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Both applications attend to need and care; A explicitly appeals to a Christian sacred teaching, B to evidence/reason/empathy. Both may consider consequences and hear people. Knowing whether the first household has another safe source matters to urgency and harm. Use some believers/this account; do not assert all Christians or all humanists choose identically.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Starter: No. The action can be shared while the grounds or source of authority differ.</w:t>
                  </w:r>
                </w:p>
                <w:p>
                  <w:pPr>
                    <w:keepLines/>
                    <w:spacing w:after="60" w:before="0" w:line="247" w:lineRule="auto"/>
                  </w:pPr>
                  <w:r>
                    <w:rPr>
                      <w:rFonts w:ascii="Liberation Sans" w:hAnsi="Liberation Sans" w:eastAsia="Liberation Sans" w:cs="Liberation Sans"/>
                      <w:b w:val="0"/>
                      <w:color w:val="182B32"/>
                      <w:sz w:val="22"/>
                    </w:rPr>
                    <w:t>We Do shared check: Both applications attend to need and care; A explicitly appeals to a Christian sacred teaching, B to evidence/reason/empathy. Both may consider consequences and hear people. Knowing whether the first household has another safe source matters to urgency and harm. Use some believers/this account; do not assert all Christians or all humanists choose identically.</w:t>
                  </w:r>
                </w:p>
                <w:p>
                  <w:pPr>
                    <w:keepLines/>
                    <w:spacing w:after="60" w:before="0" w:line="247" w:lineRule="auto"/>
                  </w:pPr>
                  <w:r>
                    <w:rPr>
                      <w:rFonts w:ascii="Liberation Sans" w:hAnsi="Liberation Sans" w:eastAsia="Liberation Sans" w:cs="Liberation Sans"/>
                      <w:b w:val="0"/>
                      <w:color w:val="182B32"/>
                      <w:sz w:val="22"/>
                    </w:rPr>
                    <w:t>You Do common criteria: relevant source detail; an explained link to the weekly outcome; accurate terminology; a precise qualification or ethical check; pupil-owned response and review. Independent, Supported and Choice test the same core thinking. Choice requires the pupil’s own word, phrase or reason. Record actual support; an adult-selected answer is not pupil evidence.</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You Do staff guidance: Credit shared care/need with different stated authorities, correct V1/V2 attribution, relevant V3 application, missing-alternative uncertainty and within-tradition diversity. Do not require identical judgements or label either group more ethical. Both accounts can use reason and care; the difference is not reason versus no reason.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Arrival: TA action — Help locate the first question and begin within about two minutes. Avoid — Do not answer the four questions or reveal recall before the first attempt. Feedback script — “I have received your first attempt; we can now check one idea.”</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I Do: TA action — Support attention to the one chunk and point to its source. Avoid — Do not give a parallel explanation or require copying from the board. Feedback script — “Notice how the model links a source detail to a claim.”</w:t>
                  </w:r>
                </w:p>
                <w:p>
                  <w:pPr>
                    <w:keepLines/>
                    <w:spacing w:after="60" w:before="0" w:line="247" w:lineRule="auto"/>
                  </w:pPr>
                  <w:r>
                    <w:rPr>
                      <w:rFonts w:ascii="Liberation Sans" w:hAnsi="Liberation Sans" w:eastAsia="Liberation Sans" w:cs="Liberation Sans"/>
                      <w:b w:val="0"/>
                      <w:color w:val="182B32"/>
                      <w:sz w:val="22"/>
                    </w:rPr>
                    <w:t>We Do: TA action — Prompt one contribution and an exact pupil-owned record. Avoid — Do not complete the guided response for the pupil. Feedback script — “Your detail is recorded; now explain what it supports.”</w:t>
                  </w:r>
                </w:p>
                <w:p>
                  <w:pPr>
                    <w:keepLines/>
                    <w:spacing w:after="60" w:before="0" w:line="247" w:lineRule="auto"/>
                  </w:pPr>
                  <w:r>
                    <w:rPr>
                      <w:rFonts w:ascii="Liberation Sans" w:hAnsi="Liberation Sans" w:eastAsia="Liberation Sans" w:cs="Liberation Sans"/>
                      <w:b w:val="0"/>
                      <w:color w:val="182B32"/>
                      <w:sz w:val="22"/>
                    </w:rPr>
                    <w:t>You Do: TA action — Offer the independent attempt first, then use the held ladder and record actual support. Avoid — Do not give a content answer or leave a complete model visible throughout the attempt. Feedback script — “Against the criterion, one next step is to make this link precise; you choose the revision.”</w:t>
                  </w:r>
                </w:p>
                <w:p>
                  <w:pPr>
                    <w:keepLines/>
                    <w:spacing w:after="60" w:before="0" w:line="247" w:lineRule="auto"/>
                  </w:pPr>
                  <w:r>
                    <w:rPr>
                      <w:rFonts w:ascii="Liberation Sans" w:hAnsi="Liberation Sans" w:eastAsia="Liberation Sans" w:cs="Liberation Sans"/>
                      <w:b w:val="0"/>
                      <w:color w:val="182B32"/>
                      <w:sz w:val="22"/>
                    </w:rPr>
                    <w:t>Exit Ticket: TA action — Ensure an attempt in the chosen mode and record actual prompting. Avoid — Never change an answer or supply a clue, answer stem, Word help or organiser during the checks. Feedback script — “I have received your answer as given; it will help choose the next teaching step.”</w:t>
                  </w:r>
                </w:p>
                <w:p>
                  <w:pPr>
                    <w:keepLines/>
                    <w:spacing w:after="60" w:before="0" w:line="247" w:lineRule="auto"/>
                  </w:pPr>
                  <w:r>
                    <w:rPr>
                      <w:rFonts w:ascii="Liberation Sans" w:hAnsi="Liberation Sans" w:eastAsia="Liberation Sans" w:cs="Liberation Sans"/>
                      <w:b w:val="0"/>
                      <w:color w:val="182B32"/>
                      <w:sz w:val="22"/>
                    </w:rPr>
                    <w:t>Baseline and prompting: record the level of support, not just success. Independent = no content prompt; With prompt = stem/choice/reminder used; Not yet = adult supplied most of the content. Never improve an answer so it no longer shows the baseline or mark a prompted response as independent. Staff record actual I, S or C beside the task in the private record; pupil route pages retain only the empty labelled box.</w:t>
                  </w:r>
                </w:p>
                <w:p>
                  <w:pPr>
                    <w:keepLines/>
                    <w:spacing w:after="60" w:before="0" w:line="247" w:lineRule="auto"/>
                  </w:pPr>
                  <w:r>
                    <w:rPr>
                      <w:rFonts w:ascii="Liberation Sans" w:hAnsi="Liberation Sans" w:eastAsia="Liberation Sans" w:cs="Liberation Sans"/>
                      <w:b w:val="0"/>
                      <w:color w:val="182B32"/>
                      <w:sz w:val="22"/>
                    </w:rPr>
                    <w:t>LOOP · Arrival — Space: private response, pass or short break with return to this stage’s next numbered step. Capture: designated classroom-support adult records private first-attempt responses to the four questions with actual response mode and prompt. Feedback: one accurate idea and one point to check after the baseline. Voice: the pupil keeps the original and gives or directs a correction. Audience: the lead teacher receives the full response and names the actual change back. Planned Influence: choose whether the short prerequisite/previous-lesson recap is needed before new input.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Starter — Space: private response, pass or short break with return to this stage’s next numbered step. Capture: designated classroom-support adult records the single choice and its reason with actual response mode and prompt. Feedback: a brief question about how the choice fits the example. Voice: the pupil confirms or revises the reason in the chosen mode. Audience: the lead teacher receives the full response and names the actual change back. Planned Influence: adjust the first model explanation to the misconception actually heard.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LOOP · I Do — Space: private response, pass or short break with return to this stage’s next numbered step. Capture: designated classroom-support adult records the pupil-selected useful model link or vocabulary note with actual response mode and prompt. Feedback: one precise comment about the link between detail and claim. Voice: the pupil points to or explains that link without copying the whole model. Audience: the lead teacher receives the full response and names the actual change back. Planned Influence: adjust the first guided question or source chunk before We Do.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We Do — Space: private response, pass or short break with return to this stage’s next numbered step. Capture: designated classroom-support adult records one guided example and the pupil-owned explanation with actual response mode and prompt. Feedback: one criterion-linked prompt about what the selected detail supports. Voice: the pupil supplies or directs an explanation or correction. Audience: the lead teacher receives the full response and names the actual change back. Planned Influence: choose the least support needed for the initial independent attempt.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You Do — Space: private response, pass or short break with return to this stage’s next numbered step. Capture: designated classroom-support adult records the source-based response and its visible pupil-owned review with actual response mode and prompt. Feedback: one brief criterion-referenced next step after the initial response is recorded. Voice: the pupil revises, explains a reason to retain wording, or opts out. Audience: the lead teacher receives the full response and names the actual change back. Planned Influence: choose the next taught recap, source or support adjustment from the received response.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Exit Ticket — Space: private response, pass or short break with return to this stage’s next numbered step. Capture: designated classroom-support adult records both unaltered fresh-source checks and the separate prompt record with actual response mode and prompt. Feedback: receipt only during the check; one specific next step after collection. Voice: the pupil submits the response or passes; any later response stays separate. Audience: the lead teacher receives the full response and names the actual change back. Planned Influence: plan the next taught recap from the actual answers without changing this baseline.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Adult-only EHCP note: use only an agreed relevant individual outcome. Possible opportunities are selecting source evidence, communicating a choice/reason, using an agreed pause and return, or accessing a record through an agreed mode. These are opportunities, not diagnoses or assumed progress. Record only what was observed. No pupil identities, initials or filled personal fields appear in this material.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LAUNCH response window: use a brief criteria-referenced NS on extended work and allow the final three minutes of You Do for a pupil-owned response. If regulation/time prevents a response, reserve the first 10–15 minutes of the next taught session before new input; record this as pending, not R. On the final week, the lead teacher schedules that first response window in the next taught session without inventing its lesson content. No complete assessment answer is revealed during the initial attempt.</w:t>
                  </w:r>
                </w:p>
                <w:p>
                  <w:pPr>
                    <w:keepLines/>
                    <w:spacing w:after="60" w:before="0" w:line="247" w:lineRule="auto"/>
                  </w:pPr>
                  <w:r>
                    <w:rPr>
                      <w:rFonts w:ascii="Liberation Sans" w:hAnsi="Liberation Sans" w:eastAsia="Liberation Sans" w:cs="Liberation Sans"/>
                      <w:b w:val="0"/>
                      <w:color w:val="182B32"/>
                      <w:sz w:val="22"/>
                    </w:rPr>
                    <w:t>Same-day evidence — LAUNCH-RE-S1-W03: the designated classroom-support adult captures a source-supported comparison of two worldview responses and a pupil-owned qualification as a work-only photograph or one-line note, with response mode, chosen route, actual I/S/C and exact prompt; checks it before tagging and uploads to the evidence app the same day during the check-out slot, 14:10–14:30. Audience: the lead teacher receives the pupil’s full response, listens/looks and names the specific change back. Influence: choose the next source, recap or support adjustment from that response, and record the actual change after teaching. R is earned only after receipt and influence; capture alone, refusal or a response nobody received never earns R.</w:t>
                  </w:r>
                </w:p>
                <w:p>
                  <w:pPr>
                    <w:keepLines/>
                    <w:spacing w:after="60" w:before="0" w:line="247" w:lineRule="auto"/>
                  </w:pPr>
                  <w:r>
                    <w:rPr>
                      <w:rFonts w:ascii="Liberation Sans" w:hAnsi="Liberation Sans" w:eastAsia="Liberation Sans" w:cs="Liberation Sans"/>
                      <w:b w:val="0"/>
                      <w:color w:val="182B32"/>
                      <w:sz w:val="22"/>
                    </w:rPr>
                    <w:t>Weekly evidence plan: subject lead samples weekly. LAUNCH minimum is three pieces per week plus weekly preparation-for-adulthood evidence across the timetable, not a fabricated per-lesson quota. Record a pass or opt-out as Space evidence in Evaluation, never failure or R. Space → Feedback → Voice → Audience → Influence is planned; no actual loop is claimed before teaching.</w:t>
                  </w:r>
                </w:p>
                <w:p>
                  <w:pPr>
                    <w:keepLines/>
                    <w:spacing w:after="60" w:before="0" w:line="247" w:lineRule="auto"/>
                  </w:pPr>
                  <w:r>
                    <w:rPr>
                      <w:rFonts w:ascii="Liberation Sans" w:hAnsi="Liberation Sans" w:eastAsia="Liberation Sans" w:cs="Liberation Sans"/>
                      <w:b w:val="0"/>
                      <w:color w:val="182B32"/>
                      <w:sz w:val="22"/>
                    </w:rPr>
                    <w:t>STAFF PRODUCTION CONTRACT: six stages Arrival → Starter → I Do → We Do → You Do → Exit Ticket. Opening 0 minutes; stage minutes 5/3/6/8/15/3 = 40. Use all four cue meanings: instruction yellow #FFF1BB; scaffold blue #E4EFF9; stretch/Aspire green #E4F2E6; success criteria orange #FFE4C8. Cue colours show instructional roles, not religions or worldviews. Repeat the exact educational/non-devotional line printed below on every pupil page, including every route, tier and continuation page. Topic tints and any picture colours are declared separately at build. Every slide repeats the exact objective below in its footer and carries its stage minutes; the opening carries 40 minutes. Leave source-page hash, version and QR slots empty for intake. Pupil print type is at least 14 pt; short chunks, clear spacing and overlay-safe layout. No board copying. No image is required for these text-source tasks.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3 · LAUNCH-RE-S1-W03 · Date __________</w:t>
            </w:r>
          </w:p>
          <w:p>
            <w:pPr>
              <w:spacing w:after="40"/>
            </w:pPr>
            <w:r>
              <w:rPr>
                <w:rFonts w:ascii="Liberation Sans" w:hAnsi="Liberation Sans" w:eastAsia="Liberation Sans" w:cs="Liberation Sans"/>
                <w:b/>
                <w:color w:val="182B32"/>
                <w:sz w:val="26"/>
              </w:rPr>
              <w:t>How can different worldviews support care and justice?</w:t>
            </w:r>
          </w:p>
          <w:p>
            <w:pPr>
              <w:spacing w:after="40"/>
              <w:shd w:fill="FFE4C8"/>
            </w:pPr>
            <w:r>
              <w:rPr>
                <w:rFonts w:ascii="Liberation Sans" w:hAnsi="Liberation Sans" w:eastAsia="Liberation Sans" w:cs="Liberation Sans"/>
                <w:b w:val="0"/>
                <w:color w:val="182B32"/>
                <w:sz w:val="22"/>
              </w:rPr>
              <w:t>Today I can… □ explain one similarity and one difference in reasoning without assuming every member agrees.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STAFF CARE: Preview sources and preserve their attribution. No cold calling; nobody is asked to read difficult text aloud. Model some believers / this person and diversity within traditions; never rank beliefs. Use only replicas, protected teaching descriptions or photographs rather than authentic sacred objects. Before use say: handle teaching resources respectfully; a book, object or place is not the whole religion. No real flame; offer drawing/colouring. No personal object, belief, family/community experience, hardship or bereavement disclosure. No enactment of harm and no compelled apology, forgiveness, reconciliation or meeting. Reflection is optional and never worship. Offer pointing first, two or three choices, a word/symbol bank, drawing, scribed/verbal/witness-note evidence, a one-word or symbol response, private pass and quiet space. Accept depends with a reason. A neutral community case response remains available; record when it does not supply a source-comparison criterion rather than inventing attainment. Return after a short break to step 1 on the current source task. No pupil handling of objects or practical re-enactment is required for this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LAUNCH-RE-S1-W03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different worldviews support care and justice?</dc:title>
  <dc:subject>LAUNCH-RE-S1-W03</dc:subject>
  <dc:creator/>
  <cp:keywords/>
  <dc:description/>
  <cp:lastModifiedBy/>
  <cp:revision>1</cp:revision>
  <dcterms:created xsi:type="dcterms:W3CDTF">2013-12-23T23:15:00Z</dcterms:created>
  <dcterms:modified xsi:type="dcterms:W3CDTF">2013-12-23T23:15:00Z</dcterms:modified>
  <cp:category/>
  <dc:language>en-GB</dc:language>
</cp:coreProperties>
</file>