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Hardness Evidence Lab</w:t>
      </w:r>
    </w:p>
    <w:p>
      <w:pPr>
        <w:pStyle w:val="Subtitle"/>
      </w:pPr>
      <w:r>
        <w:t>BUILD · Science · 40 minutes</w:t>
      </w:r>
    </w:p>
    <w:p>
      <w:r>
        <w:t>I can use the same stated scratch method to compare four coded rock samples and give a cautious evidence-based conclusion.</w:t>
      </w:r>
    </w:p>
    <w:p>
      <w:pPr>
        <w:pStyle w:val="Heading1"/>
      </w:pPr>
      <w:r>
        <w:t>Prepare before pupils arrive</w:t>
      </w:r>
    </w:p>
    <w:p>
      <w:r>
        <w:t>Setup: Pretest and code all samples, lock the method and prepare one complete fixed-data route. Keep a visible stop/check box beside every code and model preserving an unexpected result.</w:t>
      </w:r>
    </w:p>
    <w:p>
      <w:r>
        <w:t>Safety: Teacher or trained adult controls the secured tool. Remove unstable samples, require assessed eye protection, contain debris and stop rather than increase force. The no-tool parity route carries the same science goal.</w:t>
      </w:r>
    </w:p>
    <w:p>
      <w:r>
        <w:t>Equipment: Four teacher-pretested coded dry samples; stable individual trays; secured blunt scratch jig or teacher demonstration; fixed guide; wipes; hand lens; four-row result table; eye protection where assessed.</w:t>
      </w:r>
    </w:p>
    <w:p>
      <w:r>
        <w:t>Safety: Follow the local risk assessment. No hammering, breaking, tasting, smelling or dust blowing. An adult controls the secured tool. Stop on flaking, crumbling or dust; preserve the note and switch to fixed-data parity. Wash hands.</w:t>
      </w:r>
    </w:p>
    <w:p>
      <w:r>
        <w:t>Fallback: Direct the adult through the method or use the printed fixed observations. Recorder, observer and conclusion roles are complete participation routes.</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Rocks: test hardness.</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4E7A9B"/>
          </w:tcPr>
          <w:p>
            <w:pPr>
              <w:spacing w:after="60" w:line="269" w:lineRule="auto"/>
            </w:pPr>
            <w:r>
              <w:rPr>
                <w:rFonts w:ascii="Arial" w:hAnsi="Arial"/>
                <w:b/>
                <w:color w:val="FFFFFF"/>
                <w:sz w:val="20"/>
              </w:rPr>
              <w:t>Stage / total time</w:t>
            </w:r>
          </w:p>
        </w:tc>
        <w:tc>
          <w:tcPr>
            <w:tcW w:type="dxa" w:w="3288"/>
            <w:vAlign w:val="top"/>
            <w:shd w:fill="4E7A9B"/>
          </w:tcPr>
          <w:p>
            <w:pPr>
              <w:spacing w:after="60" w:line="269" w:lineRule="auto"/>
            </w:pPr>
            <w:r>
              <w:rPr>
                <w:rFonts w:ascii="Arial" w:hAnsi="Arial"/>
                <w:b/>
                <w:color w:val="FFFFFF"/>
                <w:sz w:val="20"/>
              </w:rPr>
              <w:t>Teaching move</w:t>
            </w:r>
          </w:p>
        </w:tc>
        <w:tc>
          <w:tcPr>
            <w:tcW w:type="dxa" w:w="3288"/>
            <w:vAlign w:val="top"/>
            <w:shd w:fill="4E7A9B"/>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Define relative hardness using scratch resistance. Name three controls in the stated method.</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relative — compared with the others repeat — same method again conclusion — what the results support Lock the method before Code A: same secured tool, dry start, guide length, passes, safe force proxy, wipe and viewing rule. Predict, run or reveal, wipe and record one code at a time.</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4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Order only the tested codes by the remaining groove evidence: deeper groove means lower resistance to this scratch method. Use a cautious conclusion such as ‘Code D resisted a groove more than Code A under this method.’ Add one limitation: specimens vary, the force proxy is simple and one classroom tool does not produce a universal hardness number.</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Place each after-wipe result, method card and limitation in its correct evidence role. Lock the method.</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15 min</w:t>
            </w:r>
          </w:p>
        </w:tc>
        <w:tc>
          <w:tcPr>
            <w:tcW w:type="dxa" w:w="3288"/>
            <w:vAlign w:val="top"/>
            <w:shd w:fill="FFFFFF"/>
          </w:tcPr>
          <w:p>
            <w:pPr>
              <w:spacing w:after="60" w:line="269" w:lineRule="auto"/>
            </w:pPr>
            <w:r>
              <w:rPr>
                <w:rFonts w:ascii="Arial" w:hAnsi="Arial"/>
                <w:b w:val="0"/>
                <w:color w:val="18233F"/>
                <w:sz w:val="20"/>
              </w:rPr>
              <w:t>Run or direct the same safe scratch method on four coded samples, record every after-wipe result, repeat one check where appropriate and write a cautious conclusion. Record: A complete four-code raw-results table, one preserved repeat/check note, a relative comparison using at least two codes and one method or sample limitation.</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Use two code results to give a relative-hardness conclusion and state one limit.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Choose one visible next move; written closure is optional when Voice and Audience are observable.</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Keep the faint-groove result and, if useful, repeat the same method.</w:t>
      </w:r>
    </w:p>
    <w:p>
      <w:r>
        <w:t>Correct. A valid unexpected result remains evidence; a stated repeat can check how dependable it is.</w:t>
      </w:r>
    </w:p>
    <w:p>
      <w:pPr>
        <w:pStyle w:val="Heading2"/>
      </w:pPr>
      <w:r>
        <w:t>Misconception repair</w:t>
      </w:r>
    </w:p>
    <w:p>
      <w:r>
        <w:t>Repaired. Scientific records keep all valid raw observations; a summary can be added but cannot replace them.</w:t>
      </w:r>
    </w:p>
    <w:p>
      <w:pPr>
        <w:pStyle w:val="Heading2"/>
      </w:pPr>
      <w:r>
        <w:t>Guided checkpoint</w:t>
      </w:r>
    </w:p>
    <w:p>
      <w:r>
        <w:t>Correct. A valid unexpected result remains evidence; a stated repeat can check how dependable it is. Predictions do not control observations. Preserve what happened under the stated method.</w:t>
      </w:r>
    </w:p>
    <w:p>
      <w:pPr>
        <w:pStyle w:val="Heading2"/>
      </w:pPr>
      <w:r>
        <w:t>Code A</w:t>
      </w:r>
    </w:p>
    <w:p>
      <w:r>
        <w:t>DEEP GROOVE. Code A showed the lowest scratch resistance in this four-code model set. Use the depth that remains after wiping.</w:t>
      </w:r>
    </w:p>
    <w:p>
      <w:pPr>
        <w:pStyle w:val="Heading2"/>
      </w:pPr>
      <w:r>
        <w:t>Code B</w:t>
      </w:r>
    </w:p>
    <w:p>
      <w:r>
        <w:t>SHALLOW GROOVE. Code B records a shallow groove; the safety note remains beside the result. Keep the result and the stop/check note together.</w:t>
      </w:r>
    </w:p>
    <w:p>
      <w:pPr>
        <w:pStyle w:val="Heading2"/>
      </w:pPr>
      <w:r>
        <w:t>Code C</w:t>
      </w:r>
    </w:p>
    <w:p>
      <w:r>
        <w:t>FAINT GROOVE. Code C records a faint groove, even if the prediction was no groove. Do not promote a faint remaining indentation to no groove.</w:t>
      </w:r>
    </w:p>
    <w:p>
      <w:pPr>
        <w:pStyle w:val="Heading2"/>
      </w:pPr>
      <w:r>
        <w:t>Code D</w:t>
      </w:r>
    </w:p>
    <w:p>
      <w:r>
        <w:t>NO GROOVE AFTER WIPE. Code D resisted a groove most in this representative four-code set. The result is based on the after-wipe surface.</w:t>
      </w:r>
    </w:p>
    <w:p>
      <w:pPr>
        <w:pStyle w:val="Heading2"/>
      </w:pPr>
      <w:r>
        <w:t>Keep first result, then repeat</w:t>
      </w:r>
    </w:p>
    <w:p>
      <w:r>
        <w:t>METHOD / REPEAT RULE. Method rule: repeats add evidence without erasing the first observation. This card controls evidence handling rather than ranking a groove.</w:t>
      </w:r>
    </w:p>
    <w:p>
      <w:pPr>
        <w:pStyle w:val="Heading2"/>
      </w:pPr>
      <w:r>
        <w:t>These samples, this tool, this method</w:t>
      </w:r>
    </w:p>
    <w:p>
      <w:r>
        <w:t>LIMIT OF THE CONCLUSION. Limit: the conclusion belongs to the tested codes and stated method. This card restricts how far the conclusion can travel.</w:t>
      </w:r>
    </w:p>
    <w:p>
      <w:pPr>
        <w:pStyle w:val="Heading2"/>
      </w:pPr>
      <w:r>
        <w:t>Model limitation</w:t>
      </w:r>
    </w:p>
    <w:p>
      <w:r>
        <w:t>The fixed data represent particular teaching samples and one scratch method. They do not assign Mohs values, measure toughness or approve a rock for construction.</w:t>
      </w:r>
    </w:p>
    <w:p>
      <w:pPr>
        <w:pStyle w:val="Heading2"/>
      </w:pPr>
      <w:r>
        <w:t>Independent evidence</w:t>
      </w:r>
    </w:p>
    <w:p>
      <w:r>
        <w:t>A complete four-code raw-results table, one preserved repeat/check note, a relative comparison using at least two codes and one method or sample limitation.</w:t>
      </w:r>
    </w:p>
    <w:p>
      <w:r>
        <w:t>Supported: Match four after-wipe picture cards to Codes A–D and complete one two-code comparison. Use deep, shallow, faint and none symbols. Adult handling and exact scribing are valid.</w:t>
      </w:r>
    </w:p>
    <w:p>
      <w:r>
        <w:t>Standard: Complete all four rows, keep one repeat/check note and write a conclusion comparing at least two codes. Use: Code __ showed __ while Code __ showed __, so under this method __.</w:t>
      </w:r>
    </w:p>
    <w:p>
      <w:r>
        <w:t>Stretch: Evaluate the relative pattern, explain an unexpected result and propose one safe improvement without claiming a universal hardness value. Separate sample variation, method variation and properties the test did not measure.</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4E7A9B"/>
          </w:tcPr>
          <w:p>
            <w:pPr>
              <w:spacing w:after="60" w:line="269" w:lineRule="auto"/>
            </w:pPr>
            <w:r>
              <w:rPr>
                <w:rFonts w:ascii="Arial" w:hAnsi="Arial"/>
                <w:b/>
                <w:color w:val="FFFFFF"/>
                <w:sz w:val="21"/>
              </w:rPr>
              <w:t>What the learner actually showed</w:t>
            </w:r>
          </w:p>
        </w:tc>
        <w:tc>
          <w:tcPr>
            <w:tcW w:type="dxa" w:w="4932"/>
            <w:vAlign w:val="top"/>
            <w:shd w:fill="4E7A9B"/>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SCI_B_W10B_Hardness_Evidence_Do.html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W10B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4E7A9B"/>
        <w:sz w:val="18"/>
      </w:rPr>
      <w:t>BUILD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4E7A9B"/>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4E7A9B"/>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4E7A9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4E7A9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