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Inheritance Data: Predict, Calculate, Evaluate</w:t>
      </w:r>
    </w:p>
    <w:p>
      <w:pPr>
        <w:pStyle w:val="Subtitle"/>
      </w:pPr>
      <w:r>
        <w:t>LAUNCH · Science · 40 minutes</w:t>
      </w:r>
    </w:p>
    <w:p>
      <w:r>
        <w:t>I can calculate inheritance probabilities, ratios and percentages and evaluate why observed results can differ from predictions.</w:t>
      </w:r>
    </w:p>
    <w:p>
      <w:pPr>
        <w:pStyle w:val="Heading1"/>
      </w:pPr>
      <w:r>
        <w:t>Prepare before pupils arrive</w:t>
      </w:r>
    </w:p>
    <w:p>
      <w:r>
        <w:t>Setup: Prepare the simulated 40-seedling dataset, repeated batches, blank grids and calculators. Check all arithmetic before teaching.</w:t>
      </w:r>
    </w:p>
    <w:p>
      <w:r>
        <w:t>Safety: Keep the context botanical and fictional. Do not infer real genotypes or turn accuracy into public ranking.</w:t>
      </w:r>
    </w:p>
    <w:p>
      <w:r>
        <w:t>Equipment: Blank Punnett grids, simulated repeated-batch dataset, calculator, formula strip, graph paper or comparison table and pencil.</w:t>
      </w:r>
    </w:p>
    <w:p>
      <w:r>
        <w:t>Safety: Use fictional plant data only. No personal genotype, family history or medical-risk calculation is requested.</w:t>
      </w:r>
    </w:p>
    <w:p>
      <w:r>
        <w:t>Fallback: The pupil selects the operation and dictates reasoning while an adult enters numbers, plots or scribes exact words.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Calculate and analyse outcomes using probabilities, ratios and percentages from monohybrid crosses.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State the phenotype ratio for Pp × Pp. Convert 1/4 to a percentage.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probability — chance of an outcome ratio — relative amounts sample size — number observed From Pp × Pp, predict 3/4 purple and 1/4 white: 75% and 25%. For 40 seedlings, calculate expected counts: 0.75 × 40 = 30 purple; 0.25 × 40 = 10 white.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Use repeated batches: individual groups can vary more than the combined total. A larger sample often gives an observed proportion closer to the expected probability, although exact agreement is not guaranteed.</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Classify predictions, observations and valid conclusions, then repair the guarantee claim. PREDICT COUNT PERCENT COMPARE EVALUATE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Complete a full inheritance data response: Punnett prediction, ratios, probabilities, observed percentages and evaluation. Record: Visible working from cross to percentages, a correct expected-observed comparison and an evaluation naming chance, sample size and one model limit.</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Compare 77.5% observed with 75% predicted in one cautious sentence.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Observed 77.5% purple is close to predicted 75%; chance can explain a small difference.</w:t>
      </w:r>
    </w:p>
    <w:p>
      <w:r>
        <w:t>Yes. The observed result is close to the expected proportion, and random sampling variation is normal.</w:t>
      </w:r>
    </w:p>
    <w:p>
      <w:pPr>
        <w:pStyle w:val="Heading2"/>
      </w:pPr>
      <w:r>
        <w:t>Misconception repair</w:t>
      </w:r>
    </w:p>
    <w:p>
      <w:r>
        <w:t>Repaired. Observed proportions can differ from expected probabilities, especially in finite samples; preserve the real data.</w:t>
      </w:r>
    </w:p>
    <w:p>
      <w:pPr>
        <w:pStyle w:val="Heading2"/>
      </w:pPr>
      <w:r>
        <w:t>Guided checkpoint</w:t>
      </w:r>
    </w:p>
    <w:p>
      <w:r>
        <w:t>Yes. The observed result is close to the expected proportion, and random sampling variation is normal. Compare percentages in the same unit and remember that probability is not a guarantee.</w:t>
      </w:r>
    </w:p>
    <w:p>
      <w:pPr>
        <w:pStyle w:val="Heading2"/>
      </w:pPr>
      <w:r>
        <w:t>75% purple</w:t>
      </w:r>
    </w:p>
    <w:p>
      <w:r>
        <w:t>EXPECTED FROM MODEL. Expected value placed. Ask whether this came from the square or the seedling counts.</w:t>
      </w:r>
    </w:p>
    <w:p>
      <w:pPr>
        <w:pStyle w:val="Heading2"/>
      </w:pPr>
      <w:r>
        <w:t>31 purple of 40</w:t>
      </w:r>
    </w:p>
    <w:p>
      <w:r>
        <w:t>OBSERVED IN DATA. Observed value placed. Ask whether this was actually counted in the dataset.</w:t>
      </w:r>
    </w:p>
    <w:p>
      <w:pPr>
        <w:pStyle w:val="Heading2"/>
      </w:pPr>
      <w:r>
        <w:t>Close, not exact</w:t>
      </w:r>
    </w:p>
    <w:p>
      <w:r>
        <w:t>CAUTIOUS CONCLUSION. Valid conclusion placed. Look for a sentence that compares in the same unit without claiming a guarantee.</w:t>
      </w:r>
    </w:p>
    <w:p>
      <w:pPr>
        <w:pStyle w:val="Heading2"/>
      </w:pPr>
      <w:r>
        <w:t>Model limitation</w:t>
      </w:r>
    </w:p>
    <w:p>
      <w:r>
        <w:t>The dataset is simulated, the inheritance model assumes complete dominance and one gene, and closeness alone cannot prove the biological assumptions.</w:t>
      </w:r>
    </w:p>
    <w:p>
      <w:pPr>
        <w:pStyle w:val="Heading2"/>
      </w:pPr>
      <w:r>
        <w:t>Independent evidence</w:t>
      </w:r>
    </w:p>
    <w:p>
      <w:r>
        <w:t>Visible working from cross to percentages, a correct expected-observed comparison and an evaluation naming chance, sample size and one model limit.</w:t>
      </w:r>
    </w:p>
    <w:p>
      <w:r>
        <w:t>Supported: Complete a partly filled square, convert 3/4 and 1/4 to percentages, then choose the valid data conclusion. Formula and phenotype key stay visible; totals and first calculation are pre-positioned.</w:t>
      </w:r>
    </w:p>
    <w:p>
      <w:r>
        <w:t>Standard: Build the square, calculate expected counts and observed percentages, then explain the small difference. Use Predict → Calculate → Compare → Explain.</w:t>
      </w:r>
    </w:p>
    <w:p>
      <w:r>
        <w:t>Stretch: Analyse repeated batches and the combined sample, then evaluate sample size and the monohybrid model's limits. No chi-squared test or Higher-tier genetics; depth comes from careful evaluation.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SCI_L_W13L3_Inheritance_Probability_Do.html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W13L3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