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Staff answers and response guide</w:t>
      </w:r>
    </w:p>
    <w:p>
      <w:r>
        <w:rPr>
          <w:b w:val="0"/>
        </w:rPr>
        <w:t>Materials tools and safe work</w:t>
      </w:r>
    </w:p>
    <w:p>
      <w:r>
        <w:rPr>
          <w:b w:val="0"/>
        </w:rPr>
        <w:t>These are task guides, not learner observations. Accept a justified response that fits the actual sample or work. Record what each pupil does and any physical or verbal help.</w:t>
      </w:r>
    </w:p>
    <w:p>
      <w:pPr>
        <w:pStyle w:val="Heading1"/>
      </w:pPr>
      <w:r>
        <w:rPr>
          <w:b w:val="0"/>
        </w:rPr>
        <w:t>Card key</w:t>
      </w:r>
    </w:p>
    <w:tbl>
      <w:tblPr>
        <w:tblStyle w:val="TableGrid"/>
        <w:tblW w:type="auto" w:w="0"/>
        <w:tblLayout w:type="fixed"/>
        <w:tblLook w:firstColumn="1" w:firstRow="1" w:lastColumn="0" w:lastRow="0" w:noHBand="0" w:noVBand="1" w:val="04A0"/>
      </w:tblPr>
      <w:tblGrid>
        <w:gridCol w:w="936"/>
        <w:gridCol w:w="4320"/>
        <w:gridCol w:w="4680"/>
      </w:tblGrid>
      <w:tr>
        <w:trPr>
          <w:tblHeader/>
          <w:cantSplit/>
        </w:trPr>
        <w:tc>
          <w:tcPr>
            <w:tcW w:type="dxa" w:w="936"/>
          </w:tcPr>
          <w:p>
            <w:pPr>
              <w:spacing w:after="80" w:before="60"/>
            </w:pPr>
            <w:r>
              <w:rPr>
                <w:b/>
                <w:sz w:val="21"/>
              </w:rPr>
              <w:t>Card</w:t>
            </w:r>
          </w:p>
        </w:tc>
        <w:tc>
          <w:tcPr>
            <w:tcW w:type="dxa" w:w="4320"/>
          </w:tcPr>
          <w:p>
            <w:pPr>
              <w:spacing w:after="80" w:before="60"/>
            </w:pPr>
            <w:r>
              <w:rPr>
                <w:b/>
                <w:sz w:val="21"/>
              </w:rPr>
              <w:t>Classification or step</w:t>
            </w:r>
          </w:p>
        </w:tc>
        <w:tc>
          <w:tcPr>
            <w:tcW w:type="dxa" w:w="4680"/>
          </w:tcPr>
          <w:p>
            <w:pPr>
              <w:spacing w:after="80" w:before="60"/>
            </w:pPr>
            <w:r>
              <w:rPr>
                <w:b/>
                <w:sz w:val="21"/>
              </w:rPr>
              <w:t>Action and reason</w:t>
            </w:r>
          </w:p>
        </w:tc>
      </w:tr>
      <w:tr>
        <w:trPr>
          <w:cantSplit/>
        </w:trPr>
        <w:tc>
          <w:tcPr>
            <w:tcW w:type="dxa" w:w="936"/>
          </w:tcPr>
          <w:p>
            <w:pPr>
              <w:spacing w:after="80" w:before="60"/>
            </w:pPr>
            <w:r>
              <w:rPr>
                <w:b w:val="0"/>
                <w:sz w:val="21"/>
              </w:rPr>
              <w:t>A</w:t>
            </w:r>
          </w:p>
        </w:tc>
        <w:tc>
          <w:tcPr>
            <w:tcW w:type="dxa" w:w="4320"/>
          </w:tcPr>
          <w:p>
            <w:pPr>
              <w:spacing w:after="80" w:before="60"/>
            </w:pPr>
            <w:r>
              <w:rPr>
                <w:b w:val="0"/>
                <w:sz w:val="21"/>
              </w:rPr>
              <w:t>Material. Paper is used to make or draw on.</w:t>
            </w:r>
          </w:p>
        </w:tc>
        <w:tc>
          <w:tcPr>
            <w:tcW w:type="dxa" w:w="4680"/>
          </w:tcPr>
          <w:p>
            <w:pPr>
              <w:spacing w:after="80" w:before="60"/>
            </w:pPr>
            <w:r>
              <w:rPr>
                <w:b w:val="0"/>
                <w:sz w:val="21"/>
              </w:rPr>
              <w:t>Bend a small sample gently. Describe what you notice.</w:t>
            </w:r>
          </w:p>
        </w:tc>
      </w:tr>
      <w:tr>
        <w:trPr>
          <w:cantSplit/>
        </w:trPr>
        <w:tc>
          <w:tcPr>
            <w:tcW w:type="dxa" w:w="936"/>
          </w:tcPr>
          <w:p>
            <w:pPr>
              <w:spacing w:after="80" w:before="60"/>
            </w:pPr>
            <w:r>
              <w:rPr>
                <w:b w:val="0"/>
                <w:sz w:val="21"/>
              </w:rPr>
              <w:t>B</w:t>
            </w:r>
          </w:p>
        </w:tc>
        <w:tc>
          <w:tcPr>
            <w:tcW w:type="dxa" w:w="4320"/>
          </w:tcPr>
          <w:p>
            <w:pPr>
              <w:spacing w:after="80" w:before="60"/>
            </w:pPr>
            <w:r>
              <w:rPr>
                <w:b w:val="0"/>
                <w:sz w:val="21"/>
              </w:rPr>
              <w:t>Material. Card is used to form the model.</w:t>
            </w:r>
          </w:p>
        </w:tc>
        <w:tc>
          <w:tcPr>
            <w:tcW w:type="dxa" w:w="4680"/>
          </w:tcPr>
          <w:p>
            <w:pPr>
              <w:spacing w:after="80" w:before="60"/>
            </w:pPr>
            <w:r>
              <w:rPr>
                <w:b w:val="0"/>
                <w:sz w:val="21"/>
              </w:rPr>
              <w:t>Check the edge before gently bending the sample.</w:t>
            </w:r>
          </w:p>
        </w:tc>
      </w:tr>
      <w:tr>
        <w:trPr>
          <w:cantSplit/>
        </w:trPr>
        <w:tc>
          <w:tcPr>
            <w:tcW w:type="dxa" w:w="936"/>
          </w:tcPr>
          <w:p>
            <w:pPr>
              <w:spacing w:after="80" w:before="60"/>
            </w:pPr>
            <w:r>
              <w:rPr>
                <w:b w:val="0"/>
                <w:sz w:val="21"/>
              </w:rPr>
              <w:t>C</w:t>
            </w:r>
          </w:p>
        </w:tc>
        <w:tc>
          <w:tcPr>
            <w:tcW w:type="dxa" w:w="4320"/>
          </w:tcPr>
          <w:p>
            <w:pPr>
              <w:spacing w:after="80" w:before="60"/>
            </w:pPr>
            <w:r>
              <w:rPr>
                <w:b w:val="0"/>
                <w:sz w:val="21"/>
              </w:rPr>
              <w:t>Tool. It measures length and guides a straight line.</w:t>
            </w:r>
          </w:p>
        </w:tc>
        <w:tc>
          <w:tcPr>
            <w:tcW w:type="dxa" w:w="4680"/>
          </w:tcPr>
          <w:p>
            <w:pPr>
              <w:spacing w:after="80" w:before="60"/>
            </w:pPr>
            <w:r>
              <w:rPr>
                <w:b w:val="0"/>
                <w:sz w:val="21"/>
              </w:rPr>
              <w:t>Lay it flat. Find the zero mark.</w:t>
            </w:r>
          </w:p>
        </w:tc>
      </w:tr>
      <w:tr>
        <w:trPr>
          <w:cantSplit/>
        </w:trPr>
        <w:tc>
          <w:tcPr>
            <w:tcW w:type="dxa" w:w="936"/>
          </w:tcPr>
          <w:p>
            <w:pPr>
              <w:spacing w:after="80" w:before="60"/>
            </w:pPr>
            <w:r>
              <w:rPr>
                <w:b w:val="0"/>
                <w:sz w:val="21"/>
              </w:rPr>
              <w:t>D</w:t>
            </w:r>
          </w:p>
        </w:tc>
        <w:tc>
          <w:tcPr>
            <w:tcW w:type="dxa" w:w="4320"/>
          </w:tcPr>
          <w:p>
            <w:pPr>
              <w:spacing w:after="80" w:before="60"/>
            </w:pPr>
            <w:r>
              <w:rPr>
                <w:b w:val="0"/>
                <w:sz w:val="21"/>
              </w:rPr>
              <w:t>Tool. It draws lines and marks points.</w:t>
            </w:r>
          </w:p>
        </w:tc>
        <w:tc>
          <w:tcPr>
            <w:tcW w:type="dxa" w:w="4680"/>
          </w:tcPr>
          <w:p>
            <w:pPr>
              <w:spacing w:after="80" w:before="60"/>
            </w:pPr>
            <w:r>
              <w:rPr>
                <w:b w:val="0"/>
                <w:sz w:val="21"/>
              </w:rPr>
              <w:t>Keep it on the mat when it is not in use.</w:t>
            </w:r>
          </w:p>
        </w:tc>
      </w:tr>
      <w:tr>
        <w:trPr>
          <w:cantSplit/>
        </w:trPr>
        <w:tc>
          <w:tcPr>
            <w:tcW w:type="dxa" w:w="936"/>
          </w:tcPr>
          <w:p>
            <w:pPr>
              <w:spacing w:after="80" w:before="60"/>
            </w:pPr>
            <w:r>
              <w:rPr>
                <w:b w:val="0"/>
                <w:sz w:val="21"/>
              </w:rPr>
              <w:t>E</w:t>
            </w:r>
          </w:p>
        </w:tc>
        <w:tc>
          <w:tcPr>
            <w:tcW w:type="dxa" w:w="4320"/>
          </w:tcPr>
          <w:p>
            <w:pPr>
              <w:spacing w:after="80" w:before="60"/>
            </w:pPr>
            <w:r>
              <w:rPr>
                <w:b w:val="0"/>
                <w:sz w:val="21"/>
              </w:rPr>
              <w:t>Tool. Scissors cut suitable materials.</w:t>
            </w:r>
          </w:p>
        </w:tc>
        <w:tc>
          <w:tcPr>
            <w:tcW w:type="dxa" w:w="4680"/>
          </w:tcPr>
          <w:p>
            <w:pPr>
              <w:spacing w:after="80" w:before="60"/>
            </w:pPr>
            <w:r>
              <w:rPr>
                <w:b w:val="0"/>
                <w:sz w:val="21"/>
              </w:rPr>
              <w:t>Ask the adult before any cutting task.</w:t>
            </w:r>
          </w:p>
        </w:tc>
      </w:tr>
      <w:tr>
        <w:trPr>
          <w:cantSplit/>
        </w:trPr>
        <w:tc>
          <w:tcPr>
            <w:tcW w:type="dxa" w:w="936"/>
          </w:tcPr>
          <w:p>
            <w:pPr>
              <w:spacing w:after="80" w:before="60"/>
            </w:pPr>
            <w:r>
              <w:rPr>
                <w:b w:val="0"/>
                <w:sz w:val="21"/>
              </w:rPr>
              <w:t>F</w:t>
            </w:r>
          </w:p>
        </w:tc>
        <w:tc>
          <w:tcPr>
            <w:tcW w:type="dxa" w:w="4320"/>
          </w:tcPr>
          <w:p>
            <w:pPr>
              <w:spacing w:after="80" w:before="60"/>
            </w:pPr>
            <w:r>
              <w:rPr>
                <w:b w:val="0"/>
                <w:sz w:val="21"/>
              </w:rPr>
              <w:t>Material. Tape can hold parts together.</w:t>
            </w:r>
          </w:p>
        </w:tc>
        <w:tc>
          <w:tcPr>
            <w:tcW w:type="dxa" w:w="4680"/>
          </w:tcPr>
          <w:p>
            <w:pPr>
              <w:spacing w:after="80" w:before="60"/>
            </w:pPr>
            <w:r>
              <w:rPr>
                <w:b w:val="0"/>
                <w:sz w:val="21"/>
              </w:rPr>
              <w:t>Use only a staff-prepared sample today.</w:t>
            </w:r>
          </w:p>
        </w:tc>
      </w:tr>
    </w:tbl>
    <w:p>
      <w:pPr>
        <w:pStyle w:val="Heading1"/>
      </w:pPr>
      <w:r>
        <w:rPr>
          <w:b w:val="0"/>
        </w:rPr>
        <w:t>Teacher model and hinge</w:t>
      </w:r>
    </w:p>
    <w:p>
      <w:r>
        <w:rPr>
          <w:b w:val="0"/>
        </w:rPr>
        <w:t>Card is a material. It can form a model. Paper is a material too. Feel how it bends. A ruler is a tool. It helps us measure. A pencil is a tool. It makes clear marks. A sharp point can hurt. Keep it on the mat. Clear the desk. Ask before using a new tool.</w:t>
      </w:r>
    </w:p>
    <w:p>
      <w:r>
        <w:rPr>
          <w:b w:val="0"/>
        </w:rPr>
        <w:t>B. Stop handling the card and tell the adult. Staff replace it with clean, staple-free card. A risks a hand injury; C leaves the hazard for someone else. Reteach with a rough card edge: pause and ask for a sound piece.</w:t>
      </w:r>
    </w:p>
    <w:p>
      <w:pPr>
        <w:pStyle w:val="Heading1"/>
      </w:pPr>
      <w:r>
        <w:rPr>
          <w:b w:val="0"/>
        </w:rPr>
        <w:t>Individual evidence key</w:t>
      </w:r>
    </w:p>
    <w:p>
      <w:r>
        <w:rPr>
          <w:b w:val="0"/>
        </w:rPr>
        <w:t>Materials: paper, card or tape. Tools: ruler, pencil or scissors. A ruler measures/guides a straight line; a pencil marks; scissors cut. Compare equal-size paper and card samples by gentle bending. Accept the observed result. A hazard must pair with a suitable action, for example sharp staple: stop and tell staff. Do not credit a copied model as an independent observation.</w:t>
      </w:r>
    </w:p>
    <w:p>
      <w:r>
        <w:br w:type="page"/>
      </w:r>
    </w:p>
    <w:p>
      <w:pPr>
        <w:pStyle w:val="Heading1"/>
      </w:pPr>
      <w:r>
        <w:rPr>
          <w:b w:val="0"/>
        </w:rPr>
        <w:t>Feedback and safe teaching</w:t>
      </w:r>
    </w:p>
    <w:p>
      <w:r>
        <w:rPr>
          <w:b w:val="0"/>
        </w:rPr>
        <w:t>Card A: Compare paper and card samples of the same size. Accept observations of the actual samples; do not assume every card is stiffer.</w:t>
      </w:r>
    </w:p>
    <w:p>
      <w:r>
        <w:rPr>
          <w:b w:val="0"/>
        </w:rPr>
        <w:t>Card B: Use clean, dry card with no staples or rough edges. No folding or building of the final blank today.</w:t>
      </w:r>
    </w:p>
    <w:p>
      <w:r>
        <w:rPr>
          <w:b w:val="0"/>
        </w:rPr>
        <w:t>Card C: Zero on the scale may not be the physical end of the ruler. Use a clear centimetre scale.</w:t>
      </w:r>
    </w:p>
    <w:p>
      <w:r>
        <w:rPr>
          <w:b w:val="0"/>
        </w:rPr>
        <w:t>Card D: Do not wave or throw pencils. Use an appropriate grip or larger pencil if needed.</w:t>
      </w:r>
    </w:p>
    <w:p>
      <w:r>
        <w:rPr>
          <w:b w:val="0"/>
        </w:rPr>
        <w:t>Card E: Identification only in this pack. No pupil cutting. Staff prepare blanks beforehand under local procedures.</w:t>
      </w:r>
    </w:p>
    <w:p>
      <w:r>
        <w:rPr>
          <w:b w:val="0"/>
        </w:rPr>
        <w:t>Card F: Use a short piece on a backing card; no live dispenser or assembly is needed.</w:t>
      </w:r>
    </w:p>
    <w:p>
      <w:pPr>
        <w:pStyle w:val="Heading1"/>
      </w:pPr>
      <w:r>
        <w:rPr>
          <w:b w:val="0"/>
        </w:rPr>
        <w:t>Common misunderstandings</w:t>
      </w:r>
    </w:p>
    <w:p>
      <w:r>
        <w:rPr>
          <w:b w:val="0"/>
        </w:rPr>
        <w:t>A material becomes part of an item; a tool helps do the work. The same object may serve different purposes in other contexts. Card is not always stiffer than every kind of paper: compare the actual equal-size samples. Safe work means controlling risks, not claiming that nothing can go wrong.</w:t>
      </w:r>
    </w:p>
    <w:p>
      <w:pPr>
        <w:pStyle w:val="Heading1"/>
      </w:pPr>
      <w:r>
        <w:rPr>
          <w:b w:val="0"/>
        </w:rPr>
        <w:t>Practical boundary</w:t>
      </w:r>
    </w:p>
    <w:p>
      <w:r>
        <w:rPr>
          <w:b w:val="0"/>
        </w:rPr>
        <w:t>Staff check the task and room risk assessment, individual access needs and local D&amp;T procedures. Use only clean, dry, smooth, staple-free paper/card, rulers and pencils. Prepare tape samples beforehand. Scissors are pictured only. No pupil cutting, folding, assembly, power tools, blades, hot glue or load tests. Offer an observation alternative if touch is uncomfortable.</w:t>
      </w:r>
    </w:p>
    <w:p>
      <w:pPr>
        <w:pStyle w:val="Heading1"/>
      </w:pPr>
      <w:r>
        <w:rPr>
          <w:b w:val="0"/>
        </w:rPr>
        <w:t>Response and next teaching step</w:t>
      </w:r>
    </w:p>
    <w:p>
      <w:r>
        <w:rPr>
          <w:b w:val="0"/>
        </w:rPr>
        <w:t>If a reason is vague, return to the actual item or mark. Model on a different sample, then let the learner retry. Use the NS+ prompt and learner response in their own colour before recording R. E means evidence actually banked in the school's evidence record. Keep safeguarding records separate.</w:t>
      </w:r>
    </w:p>
    <w:p>
      <w:pPr>
        <w:pStyle w:val="Heading1"/>
      </w:pPr>
      <w:r>
        <w:rPr>
          <w:b w:val="0"/>
        </w:rPr>
        <w:t>Assessment boundary</w:t>
      </w:r>
    </w:p>
    <w:p>
      <w:r>
        <w:rPr>
          <w:b w:val="0"/>
        </w:rPr>
        <w:t>LAUNCH-DT-W1-E1 is formative evidence. Building is in Week 3, testing/evaluation in Week 4. This pack claims no completed product, criterion or award. Sources: FACTS_LEDGER.md.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DT-LAUNCH-A2-W01 · School and Public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Staff answers and response guide</dc:title>
  <dc:subject>DT-LAUNCH-A2-W01</dc:subject>
  <dc:creator/>
  <cp:keywords/>
  <dc:description/>
  <cp:lastModifiedBy/>
  <cp:revision>1</cp:revision>
  <dcterms:created xsi:type="dcterms:W3CDTF">2026-10-24T00:00:00Z</dcterms:created>
  <dcterms:modified xsi:type="dcterms:W3CDTF">2026-10-24T00:00:00Z</dcterms:modified>
  <cp:category/>
</cp:coreProperties>
</file>