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Build my card bridge model</w:t>
      </w:r>
    </w:p>
    <w:p>
      <w:r>
        <w:rPr>
          <w:b w:val="0"/>
        </w:rPr>
        <w:t>Monday 16–Friday 20 November 2026 · one 40-minute lesson</w:t>
      </w:r>
    </w:p>
    <w:p>
      <w:r>
        <w:rPr>
          <w:b w:val="0"/>
        </w:rPr>
        <w:t>Teaching date: __________________   Teacher: __________________</w:t>
      </w:r>
    </w:p>
    <w:p>
      <w:pPr>
        <w:pStyle w:val="Heading1"/>
      </w:pPr>
      <w:r>
        <w:rPr>
          <w:b w:val="0"/>
        </w:rPr>
        <w:t>Exact scheme cells</w:t>
      </w:r>
    </w:p>
    <w:p>
      <w:r>
        <w:rPr>
          <w:b w:val="0"/>
        </w:rPr>
        <w:t>LAUNCH Weekly - Autumn!C238</w:t>
        <w:br/>
        <w:t>CONSTRUCTION: build a simple model/structure.</w:t>
      </w:r>
    </w:p>
    <w:p>
      <w:r>
        <w:rPr>
          <w:b w:val="0"/>
        </w:rPr>
        <w:t>LAUNCH - Autumn!D33</w:t>
        <w:br/>
        <w:t>Construction &amp; making: safe structures</w:t>
      </w:r>
    </w:p>
    <w:p>
      <w:r>
        <w:rPr>
          <w:b w:val="0"/>
        </w:rPr>
        <w:t>LAUNCH - Autumn!I33</w:t>
        <w:br/>
        <w:t>[AWARD] [QUAL] (Level 1/2); [AWARD] [QUAL] '[QUAL]', '[QUAL]'.</w:t>
      </w:r>
    </w:p>
    <w:p>
      <w:r>
        <w:rPr>
          <w:b w:val="0"/>
        </w:rPr>
        <w:t>LAUNCH - Autumn!J33</w:t>
        <w:br/>
        <w:t>F: safe-working observation.  S: constructed product + evaluation (data drop).</w:t>
      </w:r>
    </w:p>
    <w:p>
      <w:r>
        <w:rPr>
          <w:b w:val="0"/>
        </w:rPr>
        <w:t>The source assessment is retained. This lesson contributes evidence; it does not by itself complete an award. Public award labels are masked only.</w:t>
      </w:r>
    </w:p>
    <w:p>
      <w:pPr>
        <w:pStyle w:val="Heading1"/>
      </w:pPr>
      <w:r>
        <w:rPr>
          <w:b w:val="0"/>
        </w:rPr>
        <w:t>Purpose and success checks</w:t>
      </w:r>
    </w:p>
    <w:p>
      <w:r>
        <w:rPr>
          <w:b w:val="0"/>
        </w:rPr>
        <w:t>How can I turn my marked card into a model?</w:t>
      </w:r>
    </w:p>
    <w:p>
      <w:r>
        <w:rPr>
          <w:b w:val="0"/>
        </w:rPr>
        <w:t>I can follow my plan to form the model. I can make and check two clear folds. I can record my work and the help I used.</w:t>
      </w:r>
    </w:p>
    <w:p>
      <w:r>
        <w:rPr>
          <w:b w:val="0"/>
        </w:rPr>
        <w:t>LAUNCH-DT-W3-E1: The learner’s actual folded card model, a labelled photo/work reference, build checks, one change or next step and accurate physical-support record.</w:t>
      </w:r>
    </w:p>
    <w:p>
      <w:pPr>
        <w:pStyle w:val="Heading1"/>
      </w:pPr>
      <w:r>
        <w:rPr>
          <w:b w:val="0"/>
        </w:rPr>
        <w:t>Before pupils arrive</w:t>
      </w:r>
    </w:p>
    <w:p>
      <w:r>
        <w:rPr>
          <w:b w:val="0"/>
        </w:rPr>
        <w:t>Retrieve Week 2 plans and labelled 20 by 8 cm card blanks. Staff prepare spare marked blanks, soft foldable card, rulers, pencils, mats, pre-torn tape and storage. Staff set equal-height stable supports with a measured 10 cm gap on a tray. Trial the hand-folding task under local risk controls.</w:t>
      </w:r>
    </w:p>
    <w:p>
      <w:r>
        <w:rPr>
          <w:b w:val="0"/>
        </w:rPr>
        <w:t>Offer processing time, a quiet start and the usual communication support. Capture each learner’s own work. Read the Staff Answers before teaching.</w:t>
      </w:r>
    </w:p>
    <w:p>
      <w:pPr>
        <w:pStyle w:val="Heading1"/>
      </w:pPr>
      <w:r>
        <w:rPr>
          <w:b w:val="0"/>
        </w:rPr>
        <w:t>Calendar and continuity</w:t>
      </w:r>
    </w:p>
    <w:p>
      <w:r>
        <w:rPr>
          <w:b w:val="0"/>
        </w:rPr>
        <w:t>Monday 16–Friday 20 November 2026. One lesson per week on this line. No day or clock slot is inferred; staff enter the actual date above. Continue the accepted card model sequence.</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936"/>
        <w:gridCol w:w="648"/>
        <w:gridCol w:w="8352"/>
      </w:tblGrid>
      <w:tr>
        <w:trPr>
          <w:tblHeader/>
          <w:cantSplit/>
        </w:trPr>
        <w:tc>
          <w:tcPr>
            <w:tcW w:type="dxa" w:w="936"/>
          </w:tcPr>
          <w:p>
            <w:pPr>
              <w:spacing w:after="80" w:before="60"/>
            </w:pPr>
            <w:r>
              <w:rPr>
                <w:b/>
                <w:sz w:val="20"/>
              </w:rPr>
              <w:t>Slide</w:t>
            </w:r>
          </w:p>
        </w:tc>
        <w:tc>
          <w:tcPr>
            <w:tcW w:type="dxa" w:w="648"/>
          </w:tcPr>
          <w:p>
            <w:pPr>
              <w:spacing w:after="80" w:before="60"/>
            </w:pPr>
            <w:r>
              <w:rPr>
                <w:b/>
                <w:sz w:val="20"/>
              </w:rPr>
              <w:t>Min</w:t>
            </w:r>
          </w:p>
        </w:tc>
        <w:tc>
          <w:tcPr>
            <w:tcW w:type="dxa" w:w="8352"/>
          </w:tcPr>
          <w:p>
            <w:pPr>
              <w:spacing w:after="80" w:before="60"/>
            </w:pPr>
            <w:r>
              <w:rPr>
                <w:b/>
                <w:sz w:val="20"/>
              </w:rPr>
              <w:t>Action</w:t>
            </w:r>
          </w:p>
        </w:tc>
      </w:tr>
      <w:tr>
        <w:trPr>
          <w:cantSplit/>
        </w:trPr>
        <w:tc>
          <w:tcPr>
            <w:tcW w:type="dxa" w:w="936"/>
          </w:tcPr>
          <w:p>
            <w:pPr>
              <w:spacing w:after="80" w:before="60"/>
            </w:pPr>
            <w:r>
              <w:rPr>
                <w:b w:val="0"/>
                <w:sz w:val="20"/>
              </w:rPr>
              <w:t>1</w:t>
            </w:r>
          </w:p>
        </w:tc>
        <w:tc>
          <w:tcPr>
            <w:tcW w:type="dxa" w:w="648"/>
          </w:tcPr>
          <w:p>
            <w:pPr>
              <w:spacing w:after="80" w:before="60"/>
            </w:pPr>
            <w:r>
              <w:rPr>
                <w:b w:val="0"/>
                <w:sz w:val="20"/>
              </w:rPr>
              <w:t>0</w:t>
            </w:r>
          </w:p>
        </w:tc>
        <w:tc>
          <w:tcPr>
            <w:tcW w:type="dxa" w:w="8352"/>
          </w:tcPr>
          <w:p>
            <w:pPr>
              <w:spacing w:after="80" w:before="60"/>
            </w:pPr>
            <w:r>
              <w:rPr>
                <w:b w:val="0"/>
                <w:sz w:val="20"/>
              </w:rPr>
              <w:t>Open title and big question before timing.</w:t>
            </w:r>
          </w:p>
        </w:tc>
      </w:tr>
      <w:tr>
        <w:trPr>
          <w:cantSplit/>
        </w:trPr>
        <w:tc>
          <w:tcPr>
            <w:tcW w:type="dxa" w:w="936"/>
          </w:tcPr>
          <w:p>
            <w:pPr>
              <w:spacing w:after="80" w:before="60"/>
            </w:pPr>
            <w:r>
              <w:rPr>
                <w:b w:val="0"/>
                <w:sz w:val="20"/>
              </w:rPr>
              <w:t>2</w:t>
            </w:r>
          </w:p>
        </w:tc>
        <w:tc>
          <w:tcPr>
            <w:tcW w:type="dxa" w:w="648"/>
          </w:tcPr>
          <w:p>
            <w:pPr>
              <w:spacing w:after="80" w:before="60"/>
            </w:pPr>
            <w:r>
              <w:rPr>
                <w:b w:val="0"/>
                <w:sz w:val="20"/>
              </w:rPr>
              <w:t>4</w:t>
            </w:r>
          </w:p>
        </w:tc>
        <w:tc>
          <w:tcPr>
            <w:tcW w:type="dxa" w:w="8352"/>
          </w:tcPr>
          <w:p>
            <w:pPr>
              <w:spacing w:after="80" w:before="60"/>
            </w:pPr>
            <w:r>
              <w:rPr>
                <w:b w:val="0"/>
                <w:sz w:val="20"/>
              </w:rPr>
              <w:t>Private check-in, quiet start and support choice.</w:t>
            </w:r>
          </w:p>
        </w:tc>
      </w:tr>
      <w:tr>
        <w:trPr>
          <w:cantSplit/>
        </w:trPr>
        <w:tc>
          <w:tcPr>
            <w:tcW w:type="dxa" w:w="936"/>
          </w:tcPr>
          <w:p>
            <w:pPr>
              <w:spacing w:after="80" w:before="60"/>
            </w:pPr>
            <w:r>
              <w:rPr>
                <w:b w:val="0"/>
                <w:sz w:val="20"/>
              </w:rPr>
              <w:t>3</w:t>
            </w:r>
          </w:p>
        </w:tc>
        <w:tc>
          <w:tcPr>
            <w:tcW w:type="dxa" w:w="648"/>
          </w:tcPr>
          <w:p>
            <w:pPr>
              <w:spacing w:after="80" w:before="60"/>
            </w:pPr>
            <w:r>
              <w:rPr>
                <w:b w:val="0"/>
                <w:sz w:val="20"/>
              </w:rPr>
              <w:t>2</w:t>
            </w:r>
          </w:p>
        </w:tc>
        <w:tc>
          <w:tcPr>
            <w:tcW w:type="dxa" w:w="8352"/>
          </w:tcPr>
          <w:p>
            <w:pPr>
              <w:spacing w:after="80" w:before="60"/>
            </w:pPr>
            <w:r>
              <w:rPr>
                <w:b w:val="0"/>
                <w:sz w:val="20"/>
              </w:rPr>
              <w:t>Read the diagram; hear one clue or question.</w:t>
            </w:r>
          </w:p>
        </w:tc>
      </w:tr>
      <w:tr>
        <w:trPr>
          <w:cantSplit/>
        </w:trPr>
        <w:tc>
          <w:tcPr>
            <w:tcW w:type="dxa" w:w="936"/>
          </w:tcPr>
          <w:p>
            <w:pPr>
              <w:spacing w:after="80" w:before="60"/>
            </w:pPr>
            <w:r>
              <w:rPr>
                <w:b w:val="0"/>
                <w:sz w:val="20"/>
              </w:rPr>
              <w:t>4</w:t>
            </w:r>
          </w:p>
        </w:tc>
        <w:tc>
          <w:tcPr>
            <w:tcW w:type="dxa" w:w="648"/>
          </w:tcPr>
          <w:p>
            <w:pPr>
              <w:spacing w:after="80" w:before="60"/>
            </w:pPr>
            <w:r>
              <w:rPr>
                <w:b w:val="0"/>
                <w:sz w:val="20"/>
              </w:rPr>
              <w:t>0</w:t>
            </w:r>
          </w:p>
        </w:tc>
        <w:tc>
          <w:tcPr>
            <w:tcW w:type="dxa" w:w="8352"/>
          </w:tcPr>
          <w:p>
            <w:pPr>
              <w:spacing w:after="80" w:before="60"/>
            </w:pPr>
            <w:r>
              <w:rPr>
                <w:b w:val="0"/>
                <w:sz w:val="20"/>
              </w:rPr>
              <w:t>Read the exact objective and success checks.</w:t>
            </w:r>
          </w:p>
        </w:tc>
      </w:tr>
      <w:tr>
        <w:trPr>
          <w:cantSplit/>
        </w:trPr>
        <w:tc>
          <w:tcPr>
            <w:tcW w:type="dxa" w:w="936"/>
          </w:tcPr>
          <w:p>
            <w:pPr>
              <w:spacing w:after="80" w:before="60"/>
            </w:pPr>
            <w:r>
              <w:rPr>
                <w:b w:val="0"/>
                <w:sz w:val="20"/>
              </w:rPr>
              <w:t>5</w:t>
            </w:r>
          </w:p>
        </w:tc>
        <w:tc>
          <w:tcPr>
            <w:tcW w:type="dxa" w:w="648"/>
          </w:tcPr>
          <w:p>
            <w:pPr>
              <w:spacing w:after="80" w:before="60"/>
            </w:pPr>
            <w:r>
              <w:rPr>
                <w:b w:val="0"/>
                <w:sz w:val="20"/>
              </w:rPr>
              <w:t>5</w:t>
            </w:r>
          </w:p>
        </w:tc>
        <w:tc>
          <w:tcPr>
            <w:tcW w:type="dxa" w:w="8352"/>
          </w:tcPr>
          <w:p>
            <w:pPr>
              <w:spacing w:after="80" w:before="60"/>
            </w:pPr>
            <w:r>
              <w:rPr>
                <w:b w:val="0"/>
                <w:sz w:val="20"/>
              </w:rPr>
              <w:t>Model the six lines; explain the reason for each.</w:t>
            </w:r>
          </w:p>
        </w:tc>
      </w:tr>
      <w:tr>
        <w:trPr>
          <w:cantSplit/>
        </w:trPr>
        <w:tc>
          <w:tcPr>
            <w:tcW w:type="dxa" w:w="936"/>
          </w:tcPr>
          <w:p>
            <w:pPr>
              <w:spacing w:after="80" w:before="60"/>
            </w:pPr>
            <w:r>
              <w:rPr>
                <w:b w:val="0"/>
                <w:sz w:val="20"/>
              </w:rPr>
              <w:t>6</w:t>
            </w:r>
          </w:p>
        </w:tc>
        <w:tc>
          <w:tcPr>
            <w:tcW w:type="dxa" w:w="648"/>
          </w:tcPr>
          <w:p>
            <w:pPr>
              <w:spacing w:after="80" w:before="60"/>
            </w:pPr>
            <w:r>
              <w:rPr>
                <w:b w:val="0"/>
                <w:sz w:val="20"/>
              </w:rPr>
              <w:t>5</w:t>
            </w:r>
          </w:p>
        </w:tc>
        <w:tc>
          <w:tcPr>
            <w:tcW w:type="dxa" w:w="8352"/>
          </w:tcPr>
          <w:p>
            <w:pPr>
              <w:spacing w:after="80" w:before="60"/>
            </w:pPr>
            <w:r>
              <w:rPr>
                <w:b w:val="0"/>
                <w:sz w:val="20"/>
              </w:rPr>
              <w:t>Ask for a hinge answer and reason; reteach if needed.</w:t>
            </w:r>
          </w:p>
        </w:tc>
      </w:tr>
      <w:tr>
        <w:trPr>
          <w:cantSplit/>
        </w:trPr>
        <w:tc>
          <w:tcPr>
            <w:tcW w:type="dxa" w:w="936"/>
          </w:tcPr>
          <w:p>
            <w:pPr>
              <w:spacing w:after="80" w:before="60"/>
            </w:pPr>
            <w:r>
              <w:rPr>
                <w:b w:val="0"/>
                <w:sz w:val="20"/>
              </w:rPr>
              <w:t>7</w:t>
            </w:r>
          </w:p>
        </w:tc>
        <w:tc>
          <w:tcPr>
            <w:tcW w:type="dxa" w:w="648"/>
          </w:tcPr>
          <w:p>
            <w:pPr>
              <w:spacing w:after="80" w:before="60"/>
            </w:pPr>
            <w:r>
              <w:rPr>
                <w:b w:val="0"/>
                <w:sz w:val="20"/>
              </w:rPr>
              <w:t>12</w:t>
            </w:r>
          </w:p>
        </w:tc>
        <w:tc>
          <w:tcPr>
            <w:tcW w:type="dxa" w:w="8352"/>
          </w:tcPr>
          <w:p>
            <w:pPr>
              <w:spacing w:after="80" w:before="60"/>
            </w:pPr>
            <w:r>
              <w:rPr>
                <w:b w:val="0"/>
                <w:sz w:val="20"/>
              </w:rPr>
              <w:t>Use the six cards and the Supported/Independent/Aspire routes.</w:t>
            </w:r>
          </w:p>
        </w:tc>
      </w:tr>
      <w:tr>
        <w:trPr>
          <w:cantSplit/>
        </w:trPr>
        <w:tc>
          <w:tcPr>
            <w:tcW w:type="dxa" w:w="936"/>
          </w:tcPr>
          <w:p>
            <w:pPr>
              <w:spacing w:after="80" w:before="60"/>
            </w:pPr>
            <w:r>
              <w:rPr>
                <w:b w:val="0"/>
                <w:sz w:val="20"/>
              </w:rPr>
              <w:t>8</w:t>
            </w:r>
          </w:p>
        </w:tc>
        <w:tc>
          <w:tcPr>
            <w:tcW w:type="dxa" w:w="648"/>
          </w:tcPr>
          <w:p>
            <w:pPr>
              <w:spacing w:after="80" w:before="60"/>
            </w:pPr>
            <w:r>
              <w:rPr>
                <w:b w:val="0"/>
                <w:sz w:val="20"/>
              </w:rPr>
              <w:t>6</w:t>
            </w:r>
          </w:p>
        </w:tc>
        <w:tc>
          <w:tcPr>
            <w:tcW w:type="dxa" w:w="8352"/>
          </w:tcPr>
          <w:p>
            <w:pPr>
              <w:spacing w:after="80" w:before="60"/>
            </w:pPr>
            <w:r>
              <w:rPr>
                <w:b w:val="0"/>
                <w:sz w:val="20"/>
              </w:rPr>
              <w:t>Complete the individual two-page evidence record.</w:t>
            </w:r>
          </w:p>
        </w:tc>
      </w:tr>
      <w:tr>
        <w:trPr>
          <w:cantSplit/>
        </w:trPr>
        <w:tc>
          <w:tcPr>
            <w:tcW w:type="dxa" w:w="936"/>
          </w:tcPr>
          <w:p>
            <w:pPr>
              <w:spacing w:after="80" w:before="60"/>
            </w:pPr>
            <w:r>
              <w:rPr>
                <w:b w:val="0"/>
                <w:sz w:val="20"/>
              </w:rPr>
              <w:t>9</w:t>
            </w:r>
          </w:p>
        </w:tc>
        <w:tc>
          <w:tcPr>
            <w:tcW w:type="dxa" w:w="648"/>
          </w:tcPr>
          <w:p>
            <w:pPr>
              <w:spacing w:after="80" w:before="60"/>
            </w:pPr>
            <w:r>
              <w:rPr>
                <w:b w:val="0"/>
                <w:sz w:val="20"/>
              </w:rPr>
              <w:t>4</w:t>
            </w:r>
          </w:p>
        </w:tc>
        <w:tc>
          <w:tcPr>
            <w:tcW w:type="dxa" w:w="8352"/>
          </w:tcPr>
          <w:p>
            <w:pPr>
              <w:spacing w:after="80" w:before="60"/>
            </w:pPr>
            <w:r>
              <w:rPr>
                <w:b w:val="0"/>
                <w:sz w:val="20"/>
              </w:rPr>
              <w:t>Check ownership, support, response and next step.</w:t>
            </w:r>
          </w:p>
        </w:tc>
      </w:tr>
      <w:tr>
        <w:trPr>
          <w:cantSplit/>
        </w:trPr>
        <w:tc>
          <w:tcPr>
            <w:tcW w:type="dxa" w:w="936"/>
          </w:tcPr>
          <w:p>
            <w:pPr>
              <w:spacing w:after="80" w:before="60"/>
            </w:pPr>
            <w:r>
              <w:rPr>
                <w:b w:val="0"/>
                <w:sz w:val="20"/>
              </w:rPr>
              <w:t>10</w:t>
            </w:r>
          </w:p>
        </w:tc>
        <w:tc>
          <w:tcPr>
            <w:tcW w:type="dxa" w:w="648"/>
          </w:tcPr>
          <w:p>
            <w:pPr>
              <w:spacing w:after="80" w:before="60"/>
            </w:pPr>
            <w:r>
              <w:rPr>
                <w:b w:val="0"/>
                <w:sz w:val="20"/>
              </w:rPr>
              <w:t>2</w:t>
            </w:r>
          </w:p>
        </w:tc>
        <w:tc>
          <w:tcPr>
            <w:tcW w:type="dxa" w:w="8352"/>
          </w:tcPr>
          <w:p>
            <w:pPr>
              <w:spacing w:after="80" w:before="60"/>
            </w:pPr>
            <w:r>
              <w:rPr>
                <w:b w:val="0"/>
                <w:sz w:val="20"/>
              </w:rPr>
              <w:t>Take a short quiet exit response.</w:t>
            </w:r>
          </w:p>
        </w:tc>
      </w:tr>
      <w:tr>
        <w:trPr>
          <w:cantSplit/>
        </w:trPr>
        <w:tc>
          <w:tcPr>
            <w:tcW w:type="dxa" w:w="936"/>
          </w:tcPr>
          <w:p>
            <w:pPr>
              <w:spacing w:after="80" w:before="60"/>
            </w:pPr>
            <w:r>
              <w:rPr>
                <w:b w:val="0"/>
                <w:sz w:val="20"/>
              </w:rPr>
              <w:t>11</w:t>
            </w:r>
          </w:p>
        </w:tc>
        <w:tc>
          <w:tcPr>
            <w:tcW w:type="dxa" w:w="648"/>
          </w:tcPr>
          <w:p>
            <w:pPr>
              <w:spacing w:after="80" w:before="60"/>
            </w:pPr>
            <w:r>
              <w:rPr>
                <w:b w:val="0"/>
                <w:sz w:val="20"/>
              </w:rPr>
              <w:t>0</w:t>
            </w:r>
          </w:p>
        </w:tc>
        <w:tc>
          <w:tcPr>
            <w:tcW w:type="dxa" w:w="8352"/>
          </w:tcPr>
          <w:p>
            <w:pPr>
              <w:spacing w:after="80" w:before="60"/>
            </w:pPr>
            <w:r>
              <w:rPr>
                <w:b w:val="0"/>
                <w:sz w:val="20"/>
              </w:rPr>
              <w:t>Use the vocabulary mat throughout.</w:t>
            </w:r>
          </w:p>
        </w:tc>
      </w:tr>
      <w:tr>
        <w:trPr>
          <w:cantSplit/>
        </w:trPr>
        <w:tc>
          <w:tcPr>
            <w:tcW w:type="dxa" w:w="936"/>
          </w:tcPr>
          <w:p>
            <w:pPr>
              <w:spacing w:after="80" w:before="60"/>
            </w:pPr>
            <w:r>
              <w:rPr>
                <w:b w:val="0"/>
                <w:sz w:val="20"/>
              </w:rPr>
              <w:t>12</w:t>
            </w:r>
          </w:p>
        </w:tc>
        <w:tc>
          <w:tcPr>
            <w:tcW w:type="dxa" w:w="648"/>
          </w:tcPr>
          <w:p>
            <w:pPr>
              <w:spacing w:after="80" w:before="60"/>
            </w:pPr>
            <w:r>
              <w:rPr>
                <w:b w:val="0"/>
                <w:sz w:val="20"/>
              </w:rPr>
              <w:t>0</w:t>
            </w:r>
          </w:p>
        </w:tc>
        <w:tc>
          <w:tcPr>
            <w:tcW w:type="dxa" w:w="8352"/>
          </w:tcPr>
          <w:p>
            <w:pPr>
              <w:spacing w:after="80" w:before="60"/>
            </w:pPr>
            <w:r>
              <w:rPr>
                <w:b w:val="0"/>
                <w:sz w:val="20"/>
              </w:rPr>
              <w:t>Hidden reference for adults.</w:t>
            </w:r>
          </w:p>
        </w:tc>
      </w:tr>
    </w:tbl>
    <w:p>
      <w:pPr>
        <w:pStyle w:val="Heading1"/>
      </w:pPr>
      <w:r>
        <w:rPr>
          <w:b w:val="0"/>
        </w:rPr>
        <w:t>Hinge and reteach</w:t>
      </w:r>
    </w:p>
    <w:p>
      <w:r>
        <w:rPr>
          <w:b w:val="0"/>
        </w:rPr>
        <w:t>B. Check the 2 cm and 6 cm lines from the same reference edge. Ask the adult whether the fold can be corrected or a spare blank is needed; record the help and change. A hides rather than resolves the mismatch; C introduces unplanned cutting. Re-model a fold on scrap card if needed.</w:t>
      </w:r>
    </w:p>
    <w:p>
      <w:pPr>
        <w:pStyle w:val="Heading1"/>
      </w:pPr>
      <w:r>
        <w:rPr>
          <w:b w:val="0"/>
        </w:rPr>
        <w:t>Access and practice</w:t>
      </w:r>
    </w:p>
    <w:p>
      <w:r>
        <w:rPr>
          <w:b w:val="0"/>
        </w:rPr>
        <w:t>Supported: ask an adult to steady the card. Independent: fold, form and check the model. Aspire: explain how the shape fits the plan.</w:t>
      </w:r>
    </w:p>
    <w:p>
      <w:r>
        <w:rPr>
          <w:b w:val="0"/>
        </w:rPr>
        <w:t>Follow A–F. Check marks first, model one crease on spare card, then let pupils form their own channel. Adults record physical help. Use a fit check over the 10 cm gap only. For an absent pupil, record supplied marking as catch-up support and focus on today’s building objective.</w:t>
      </w:r>
    </w:p>
    <w:p>
      <w:r>
        <w:rPr>
          <w:b w:val="0"/>
        </w:rPr>
        <w:t>Begin evidence during practice and finish during capture. Accept speech, pointing, drawing, writing or usual AAC. Scribe exact words without supplying the assessed reason. No forced pair work or public performance.</w:t>
      </w:r>
    </w:p>
    <w:p>
      <w:r>
        <w:br w:type="page"/>
      </w:r>
    </w:p>
    <w:p>
      <w:pPr>
        <w:pStyle w:val="Heading1"/>
      </w:pPr>
      <w:r>
        <w:rPr>
          <w:b w:val="0"/>
        </w:rPr>
        <w:t>Safe teaching evidence and learner voice</w:t>
      </w:r>
    </w:p>
    <w:p>
      <w:pPr>
        <w:pStyle w:val="Heading1"/>
      </w:pPr>
      <w:r>
        <w:rPr>
          <w:b w:val="0"/>
        </w:rPr>
        <w:t>Boundaries</w:t>
      </w:r>
    </w:p>
    <w:p>
      <w:r>
        <w:rPr>
          <w:b w:val="0"/>
        </w:rPr>
        <w:t>Use hand-foldable card with clean edges and no staples. Learners fold by hand; adults can steady the card. No pupil cutting, sharp scoring tools, blades, hot glue, power tools or load tests. Supports sit on a stable low desk/tray; no standing on a model or testing with hands or body weight.</w:t>
      </w:r>
    </w:p>
    <w:p>
      <w:pPr>
        <w:pStyle w:val="Heading1"/>
      </w:pPr>
      <w:r>
        <w:rPr>
          <w:b w:val="0"/>
        </w:rPr>
        <w:t>Assessment and feedback</w:t>
      </w:r>
    </w:p>
    <w:p>
      <w:r>
        <w:rPr>
          <w:b w:val="0"/>
        </w:rPr>
        <w:t>A 20 by 8 cm blank folded at 2 cm and 6 cm gives a 4 cm base and two 2 cm sides. A centred 20 cm length across a 10 cm gap rests 5 cm on each support. Check actual folds and fit. Capture the model, not just a plan. Record adult-started folds or a supplied pre-marked blank. No load, strength or award completion result is inferred.</w:t>
      </w:r>
    </w:p>
    <w:p>
      <w:r>
        <w:rPr>
          <w:b w:val="0"/>
        </w:rPr>
        <w:t>Retain actual work, response mode and support. Use VF · WS · I · NS+ (Yellow Box) · // (self-edit) · ? (read back) · R (responded) · E (evidence in the school's evidence record). R requires Voice, Audience, an NS+ prompt and the learner’s response in their own colour. Record E only after evidence is banked. Blank forms and adult models are not completed learner evidence.</w:t>
      </w:r>
    </w:p>
    <w:p>
      <w:pPr>
        <w:pStyle w:val="Heading1"/>
      </w:pPr>
      <w:r>
        <w:rPr>
          <w:b w:val="0"/>
        </w:rPr>
        <w:t>Lundy moments</w:t>
      </w:r>
    </w:p>
    <w:p>
      <w:r>
        <w:rPr>
          <w:b w:val="0"/>
        </w:rPr>
        <w:t>Space: calm, accessible participation. Voice: a choice, reason or help request. Audience: the adult listens or reads and replies. Influence: record the support or next-step change made in response.</w:t>
      </w:r>
    </w:p>
    <w:p>
      <w:pPr>
        <w:pStyle w:val="Heading1"/>
      </w:pPr>
      <w:r>
        <w:rPr>
          <w:b w:val="0"/>
        </w:rPr>
        <w:t>Speaking listening and writing</w:t>
      </w:r>
    </w:p>
    <w:p>
      <w:r>
        <w:rPr>
          <w:b w:val="0"/>
        </w:rPr>
        <w:t>Explain the next making step, listen to a practical instruction and describe a checked or corrected fold. The receiving teacher maps authentic responses to their own portfolio; no communication criteria are assigned here.</w:t>
      </w:r>
    </w:p>
    <w:p>
      <w:pPr>
        <w:pStyle w:val="Heading1"/>
      </w:pPr>
      <w:r>
        <w:rPr>
          <w:b w:val="0"/>
        </w:rPr>
        <w:t>Reflection and provenance</w:t>
      </w:r>
    </w:p>
    <w:p>
      <w:r>
        <w:rPr>
          <w:b w:val="0"/>
        </w:rPr>
        <w:t>Next teaching need: __________________________________________________</w:t>
        <w:br/>
        <w:t>Learner request and change made: _______________________________________</w:t>
      </w:r>
    </w:p>
    <w:p>
      <w:r>
        <w:rPr>
          <w:b w:val="0"/>
        </w:rPr>
        <w:t>Sources: lane1/main scheme index, revision 840cc945; workbook revision 9ed44bdf, cells above, checked against main by blob/hash. Calendar: owner order. Local examples and diagrams are authored. Source URLs and limits: FACTS_LEDGER.md. No registration or award criteria are inferred.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DT-LAUNCH-A2-W03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and cover planner</dc:title>
  <dc:subject>DT-LAUNCH-A2-W03</dc:subject>
  <dc:creator/>
  <cp:keywords/>
  <dc:description/>
  <cp:lastModifiedBy/>
  <cp:revision>1</cp:revision>
  <dcterms:created xsi:type="dcterms:W3CDTF">2026-10-24T00:00:00Z</dcterms:created>
  <dcterms:modified xsi:type="dcterms:W3CDTF">2026-10-24T00:00:00Z</dcterms:modified>
  <cp:category/>
</cp:coreProperties>
</file>