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Sequence and evidence guide</w:t>
      </w:r>
    </w:p>
    <w:p>
      <w:r>
        <w:rPr>
          <w:b w:val="0"/>
          <w:sz w:val="20"/>
        </w:rPr>
        <w:t>Year A  |  Autumn 2 Week 1  |  2 November 2026</w:t>
      </w:r>
    </w:p>
    <w:p>
      <w:r>
        <w:rPr>
          <w:b w:val="0"/>
        </w:rPr>
        <w:t>Year A. LAUNCH ICT Autumn 2. One 40-minute lesson per week. This sequence follows the owner-approved outline. School and Public editions use the same generic wording and fictional resources.</w:t>
      </w:r>
    </w:p>
    <w:tbl>
      <w:tblPr>
        <w:tblW w:type="auto" w:w="0"/>
        <w:tblLayout w:type="fixed"/>
        <w:tblLook w:firstColumn="1" w:firstRow="1" w:lastColumn="0" w:lastRow="0" w:noHBand="0" w:noVBand="1" w:val="04A0"/>
      </w:tblPr>
      <w:tblGrid>
        <w:gridCol w:w="4819"/>
        <w:gridCol w:w="4819"/>
      </w:tblGrid>
      <w:tr>
        <w:trPr>
          <w:tblHeader/>
        </w:trPr>
        <w:tc>
          <w:tcPr>
            <w:tcW w:type="dxa" w:w="2551"/>
            <w:shd w:fill="527E98"/>
          </w:tcPr>
          <w:p>
            <w:pPr>
              <w:spacing w:after="100" w:before="100"/>
            </w:pPr>
            <w:r>
              <w:rPr>
                <w:b/>
                <w:color w:val="FFFFFF"/>
                <w:sz w:val="20"/>
              </w:rPr>
              <w:t>Week commencing</w:t>
            </w:r>
          </w:p>
        </w:tc>
        <w:tc>
          <w:tcPr>
            <w:tcW w:type="dxa" w:w="7087"/>
            <w:shd w:fill="527E98"/>
          </w:tcPr>
          <w:p>
            <w:pPr>
              <w:spacing w:after="100" w:before="100"/>
            </w:pPr>
            <w:r>
              <w:rPr>
                <w:b/>
                <w:color w:val="FFFFFF"/>
                <w:sz w:val="20"/>
              </w:rPr>
              <w:t>Focus</w:t>
            </w:r>
          </w:p>
        </w:tc>
      </w:tr>
      <w:tr>
        <w:tc>
          <w:tcPr>
            <w:tcW w:type="dxa" w:w="2551"/>
            <w:shd w:fill="EFF5F4"/>
          </w:tcPr>
          <w:p>
            <w:pPr>
              <w:spacing w:after="100" w:before="100"/>
            </w:pPr>
            <w:r>
              <w:rPr>
                <w:b w:val="0"/>
                <w:color w:val="17263B"/>
                <w:sz w:val="20"/>
              </w:rPr>
              <w:t>2 November 2026</w:t>
            </w:r>
          </w:p>
        </w:tc>
        <w:tc>
          <w:tcPr>
            <w:tcW w:type="dxa" w:w="7087"/>
            <w:shd w:fill="EFF5F4"/>
          </w:tcPr>
          <w:p>
            <w:pPr>
              <w:spacing w:after="100" w:before="100"/>
            </w:pPr>
            <w:r>
              <w:rPr>
                <w:b w:val="0"/>
                <w:color w:val="17263B"/>
                <w:sz w:val="20"/>
              </w:rPr>
              <w:t>Files and personal information</w:t>
            </w:r>
          </w:p>
        </w:tc>
      </w:tr>
      <w:tr>
        <w:tc>
          <w:tcPr>
            <w:tcW w:type="dxa" w:w="2551"/>
            <w:shd w:fill="FFFFFF"/>
          </w:tcPr>
          <w:p>
            <w:pPr>
              <w:spacing w:after="100" w:before="100"/>
            </w:pPr>
            <w:r>
              <w:rPr>
                <w:b w:val="0"/>
                <w:color w:val="17263B"/>
                <w:sz w:val="20"/>
              </w:rPr>
              <w:t>9 November 2026</w:t>
            </w:r>
          </w:p>
        </w:tc>
        <w:tc>
          <w:tcPr>
            <w:tcW w:type="dxa" w:w="7087"/>
            <w:shd w:fill="FFFFFF"/>
          </w:tcPr>
          <w:p>
            <w:pPr>
              <w:spacing w:after="100" w:before="100"/>
            </w:pPr>
            <w:r>
              <w:rPr>
                <w:b w:val="0"/>
                <w:color w:val="17263B"/>
                <w:sz w:val="20"/>
              </w:rPr>
              <w:t>Structured document</w:t>
            </w:r>
          </w:p>
        </w:tc>
      </w:tr>
      <w:tr>
        <w:tc>
          <w:tcPr>
            <w:tcW w:type="dxa" w:w="2551"/>
            <w:shd w:fill="EFF5F4"/>
          </w:tcPr>
          <w:p>
            <w:pPr>
              <w:spacing w:after="100" w:before="100"/>
            </w:pPr>
            <w:r>
              <w:rPr>
                <w:b w:val="0"/>
                <w:color w:val="17263B"/>
                <w:sz w:val="20"/>
              </w:rPr>
              <w:t>16 November 2026</w:t>
            </w:r>
          </w:p>
        </w:tc>
        <w:tc>
          <w:tcPr>
            <w:tcW w:type="dxa" w:w="7087"/>
            <w:shd w:fill="EFF5F4"/>
          </w:tcPr>
          <w:p>
            <w:pPr>
              <w:spacing w:after="100" w:before="100"/>
            </w:pPr>
            <w:r>
              <w:rPr>
                <w:b w:val="0"/>
                <w:color w:val="17263B"/>
                <w:sz w:val="20"/>
              </w:rPr>
              <w:t>Evaluating sources</w:t>
            </w:r>
          </w:p>
        </w:tc>
      </w:tr>
      <w:tr>
        <w:tc>
          <w:tcPr>
            <w:tcW w:type="dxa" w:w="2551"/>
            <w:shd w:fill="FFFFFF"/>
          </w:tcPr>
          <w:p>
            <w:pPr>
              <w:spacing w:after="100" w:before="100"/>
            </w:pPr>
            <w:r>
              <w:rPr>
                <w:b w:val="0"/>
                <w:color w:val="17263B"/>
                <w:sz w:val="20"/>
              </w:rPr>
              <w:t>23 November 2026</w:t>
            </w:r>
          </w:p>
        </w:tc>
        <w:tc>
          <w:tcPr>
            <w:tcW w:type="dxa" w:w="7087"/>
            <w:shd w:fill="FFFFFF"/>
          </w:tcPr>
          <w:p>
            <w:pPr>
              <w:spacing w:after="100" w:before="100"/>
            </w:pPr>
            <w:r>
              <w:rPr>
                <w:b w:val="0"/>
                <w:color w:val="17263B"/>
                <w:sz w:val="20"/>
              </w:rPr>
              <w:t>Spreadsheet formulas</w:t>
            </w:r>
          </w:p>
        </w:tc>
      </w:tr>
      <w:tr>
        <w:tc>
          <w:tcPr>
            <w:tcW w:type="dxa" w:w="2551"/>
            <w:shd w:fill="EFF5F4"/>
          </w:tcPr>
          <w:p>
            <w:pPr>
              <w:spacing w:after="100" w:before="100"/>
            </w:pPr>
            <w:r>
              <w:rPr>
                <w:b w:val="0"/>
                <w:color w:val="17263B"/>
                <w:sz w:val="20"/>
              </w:rPr>
              <w:t>30 November 2026</w:t>
            </w:r>
          </w:p>
        </w:tc>
        <w:tc>
          <w:tcPr>
            <w:tcW w:type="dxa" w:w="7087"/>
            <w:shd w:fill="EFF5F4"/>
          </w:tcPr>
          <w:p>
            <w:pPr>
              <w:spacing w:after="100" w:before="100"/>
            </w:pPr>
            <w:r>
              <w:rPr>
                <w:b w:val="0"/>
                <w:color w:val="17263B"/>
                <w:sz w:val="20"/>
              </w:rPr>
              <w:t>Charts</w:t>
            </w:r>
          </w:p>
        </w:tc>
      </w:tr>
      <w:tr>
        <w:tc>
          <w:tcPr>
            <w:tcW w:type="dxa" w:w="2551"/>
            <w:shd w:fill="FFFFFF"/>
          </w:tcPr>
          <w:p>
            <w:pPr>
              <w:spacing w:after="100" w:before="100"/>
            </w:pPr>
            <w:r>
              <w:rPr>
                <w:b w:val="0"/>
                <w:color w:val="17263B"/>
                <w:sz w:val="20"/>
              </w:rPr>
              <w:t>7 December 2026</w:t>
            </w:r>
          </w:p>
        </w:tc>
        <w:tc>
          <w:tcPr>
            <w:tcW w:type="dxa" w:w="7087"/>
            <w:shd w:fill="FFFFFF"/>
          </w:tcPr>
          <w:p>
            <w:pPr>
              <w:spacing w:after="100" w:before="100"/>
            </w:pPr>
            <w:r>
              <w:rPr>
                <w:b w:val="0"/>
                <w:color w:val="17263B"/>
                <w:sz w:val="20"/>
              </w:rPr>
              <w:t>Accessible presentation</w:t>
            </w:r>
          </w:p>
        </w:tc>
      </w:tr>
      <w:tr>
        <w:tc>
          <w:tcPr>
            <w:tcW w:type="dxa" w:w="2551"/>
            <w:shd w:fill="EFF5F4"/>
          </w:tcPr>
          <w:p>
            <w:pPr>
              <w:spacing w:after="100" w:before="100"/>
            </w:pPr>
            <w:r>
              <w:rPr>
                <w:b w:val="0"/>
                <w:color w:val="17263B"/>
                <w:sz w:val="20"/>
              </w:rPr>
              <w:t>14 December 2026</w:t>
            </w:r>
          </w:p>
        </w:tc>
        <w:tc>
          <w:tcPr>
            <w:tcW w:type="dxa" w:w="7087"/>
            <w:shd w:fill="EFF5F4"/>
          </w:tcPr>
          <w:p>
            <w:pPr>
              <w:spacing w:after="100" w:before="100"/>
            </w:pPr>
            <w:r>
              <w:rPr>
                <w:b w:val="0"/>
                <w:color w:val="17263B"/>
                <w:sz w:val="20"/>
              </w:rPr>
              <w:t>Independent task with paragraph frame; assessing lesson</w:t>
            </w:r>
          </w:p>
        </w:tc>
      </w:tr>
    </w:tbl>
    <w:p>
      <w:pPr>
        <w:pStyle w:val="Heading2"/>
      </w:pPr>
      <w:r>
        <w:rPr>
          <w:b w:val="0"/>
        </w:rPr>
        <w:t>Term theme and careers</w:t>
      </w:r>
    </w:p>
    <w:p>
      <w:r>
        <w:rPr>
          <w:b w:val="0"/>
        </w:rPr>
        <w:t>Identity &amp; Belonging. Office support staff organise files and check who needs personal details.</w:t>
      </w:r>
    </w:p>
    <w:p>
      <w:pPr>
        <w:pStyle w:val="Heading2"/>
      </w:pPr>
      <w:r>
        <w:rPr>
          <w:b w:val="0"/>
        </w:rPr>
        <w:t>Week 1 evidence</w:t>
      </w:r>
    </w:p>
    <w:p>
      <w:r>
        <w:rPr>
          <w:b w:val="0"/>
        </w:rPr>
        <w:t>Keep the individual saved profile and evidence slip in the approved area. Retain the actual support record. If the device task is incomplete, mark it not yet observed. No external award outcome is inferred.</w:t>
      </w:r>
    </w:p>
    <w:p>
      <w:pPr>
        <w:pStyle w:val="Heading2"/>
      </w:pPr>
      <w:r>
        <w:rPr>
          <w:b w:val="0"/>
        </w:rPr>
        <w:t>Using the pack</w:t>
      </w:r>
    </w:p>
    <w:p>
      <w:r>
        <w:rPr>
          <w:b w:val="0"/>
        </w:rPr>
        <w:t>Extract one whole edition. Open the HTML beside its assets folder, or use the 14-slide editable deck. Use the teacher plan for timings. Print the chosen route sheet and evidence slip. The full editable pack contains the pupil print pages.</w:t>
      </w:r>
    </w:p>
    <w:sectPr w:rsidR="00FC693F" w:rsidRPr="0006063C" w:rsidSect="00034616">
      <w:headerReference w:type="default" r:id="rId9"/>
      <w:footerReference w:type="default" r:id="rId10"/>
      <w:pgSz w:w="11906" w:h="16838"/>
      <w:pgMar w:top="124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ICT_LAUNCH_A2_W01  |  Made by Matt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LAUNCH ICT   YEAR A</w:t>
    </w:r>
    <w:r>
      <w:t xml:space="preserve">            </w:t>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17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26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Files and personal information</dc:title>
  <dc:subject>ICT_LAUNCH_A2_W01</dc:subject>
  <dc:creator/>
  <cp:keywords>Year A</cp:keywords>
  <dc:description/>
  <cp:lastModifiedBy/>
  <cp:revision>1</cp:revision>
  <dcterms:created xsi:type="dcterms:W3CDTF">2013-12-23T23:15:00Z</dcterms:created>
  <dcterms:modified xsi:type="dcterms:W3CDTF">2013-12-23T23:15:00Z</dcterms:modified>
  <cp:category/>
</cp:coreProperties>
</file>