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answers and observation</w:t>
      </w:r>
    </w:p>
    <w:p>
      <w:pPr>
        <w:pStyle w:val="Heading1"/>
      </w:pPr>
      <w:r>
        <w:t>Take care of a class job</w:t>
      </w:r>
    </w:p>
    <w:p>
      <w:r>
        <w:t>These are teaching guides, not prefilled learner evidence. Use a separate adult model. Record actual responses, actions and support.</w:t>
      </w:r>
    </w:p>
    <w:p>
      <w:pPr>
        <w:pStyle w:val="Heading2"/>
      </w:pPr>
      <w:r>
        <w:t>Model and task key</w:t>
      </w:r>
    </w:p>
    <w:p>
      <w:r>
        <w:t>My job is to set up one work tray. I read the list: one sheet, pencil and help card. I put the three items on the tray. I check each item against the list. I put the tray in the agreed place. I tell the adult it is ready, or say what I need.</w:t>
      </w:r>
    </w:p>
    <w:tbl>
      <w:tblPr>
        <w:tblStyle w:val="TableGrid"/>
        <w:tblW w:type="auto" w:w="0"/>
        <w:tblLayout w:type="fixed"/>
        <w:tblLook w:firstColumn="1" w:firstRow="1" w:lastColumn="0" w:lastRow="0" w:noHBand="0" w:noVBand="1" w:val="04A0"/>
      </w:tblPr>
      <w:tblGrid>
        <w:gridCol w:w="1814"/>
        <w:gridCol w:w="7257"/>
      </w:tblGrid>
      <w:tr>
        <w:trPr>
          <w:cantSplit/>
        </w:trPr>
        <w:tc>
          <w:tcPr>
            <w:tcW w:type="dxa" w:w="1814"/>
            <w:shd w:fill="E4F0EF"/>
          </w:tcPr>
          <w:p>
            <w:pPr>
              <w:spacing w:after="100" w:before="60"/>
            </w:pPr>
            <w:r>
              <w:rPr>
                <w:b/>
              </w:rPr>
              <w:t>Part</w:t>
            </w:r>
          </w:p>
        </w:tc>
        <w:tc>
          <w:tcPr>
            <w:tcW w:type="dxa" w:w="7257"/>
            <w:shd w:fill="E4F0EF"/>
          </w:tcPr>
          <w:p>
            <w:pPr>
              <w:spacing w:after="100" w:before="60"/>
            </w:pPr>
            <w:r>
              <w:rPr>
                <w:b/>
              </w:rPr>
              <w:t>Teaching guide</w:t>
            </w:r>
          </w:p>
        </w:tc>
      </w:tr>
      <w:tr>
        <w:trPr>
          <w:cantSplit/>
        </w:trPr>
        <w:tc>
          <w:tcPr>
            <w:tcW w:type="dxa" w:w="1814"/>
          </w:tcPr>
          <w:p>
            <w:pPr>
              <w:spacing w:after="100" w:before="60"/>
            </w:pPr>
            <w:r>
              <w:t>Job brief</w:t>
            </w:r>
          </w:p>
        </w:tc>
        <w:tc>
          <w:tcPr>
            <w:tcW w:type="dxa" w:w="7257"/>
          </w:tcPr>
          <w:p>
            <w:pPr>
              <w:spacing w:after="100" w:before="60"/>
            </w:pPr>
            <w:r>
              <w:t>One work tray needs one plain sheet, one suitable pencil and one help card. Agree the destination and accessible method of placing the tray before starting.</w:t>
            </w:r>
          </w:p>
        </w:tc>
      </w:tr>
      <w:tr>
        <w:trPr>
          <w:cantSplit/>
        </w:trPr>
        <w:tc>
          <w:tcPr>
            <w:tcW w:type="dxa" w:w="1814"/>
          </w:tcPr>
          <w:p>
            <w:pPr>
              <w:spacing w:after="100" w:before="60"/>
            </w:pPr>
            <w:r>
              <w:t>Check</w:t>
            </w:r>
          </w:p>
        </w:tc>
        <w:tc>
          <w:tcPr>
            <w:tcW w:type="dxa" w:w="7257"/>
          </w:tcPr>
          <w:p>
            <w:pPr>
              <w:spacing w:after="100" w:before="60"/>
            </w:pPr>
            <w:r>
              <w:t>Compare the actual tray with all three listed items. A missing item is reported or added safely. Checking is observed, not inferred from a finished tray.</w:t>
            </w:r>
          </w:p>
        </w:tc>
      </w:tr>
      <w:tr>
        <w:trPr>
          <w:cantSplit/>
        </w:trPr>
        <w:tc>
          <w:tcPr>
            <w:tcW w:type="dxa" w:w="1814"/>
          </w:tcPr>
          <w:p>
            <w:pPr>
              <w:spacing w:after="100" w:before="60"/>
            </w:pPr>
            <w:r>
              <w:t>Report</w:t>
            </w:r>
          </w:p>
        </w:tc>
        <w:tc>
          <w:tcPr>
            <w:tcW w:type="dxa" w:w="7257"/>
          </w:tcPr>
          <w:p>
            <w:pPr>
              <w:spacing w:after="100" w:before="60"/>
            </w:pPr>
            <w:r>
              <w:t>Accept ready, a point to the checked list, an aid response or a clear request for the missing item. Record actual communication.</w:t>
            </w:r>
          </w:p>
        </w:tc>
      </w:tr>
      <w:tr>
        <w:trPr>
          <w:cantSplit/>
        </w:trPr>
        <w:tc>
          <w:tcPr>
            <w:tcW w:type="dxa" w:w="1814"/>
          </w:tcPr>
          <w:p>
            <w:pPr>
              <w:spacing w:after="100" w:before="60"/>
            </w:pPr>
            <w:r>
              <w:t>Real purpose</w:t>
            </w:r>
          </w:p>
        </w:tc>
        <w:tc>
          <w:tcPr>
            <w:tcW w:type="dxa" w:w="7257"/>
          </w:tcPr>
          <w:p>
            <w:pPr>
              <w:spacing w:after="100" w:before="60"/>
            </w:pPr>
            <w:r>
              <w:t>Use the trays during the evidence stage for a brief mark-making task. This makes resource preparation a real class job. Drawing quality and speed are not assessed.</w:t>
            </w:r>
          </w:p>
        </w:tc>
      </w:tr>
      <w:tr>
        <w:trPr>
          <w:cantSplit/>
        </w:trPr>
        <w:tc>
          <w:tcPr>
            <w:tcW w:type="dxa" w:w="1814"/>
          </w:tcPr>
          <w:p>
            <w:pPr>
              <w:spacing w:after="100" w:before="60"/>
            </w:pPr>
            <w:r>
              <w:t>Responsibility</w:t>
            </w:r>
          </w:p>
        </w:tc>
        <w:tc>
          <w:tcPr>
            <w:tcW w:type="dxa" w:w="7257"/>
          </w:tcPr>
          <w:p>
            <w:pPr>
              <w:spacing w:after="100" w:before="60"/>
            </w:pPr>
            <w:r>
              <w:t>Starting, caring for kit, checking and reporting a need can all show responsibility. Asking for help is appropriate; it does not cancel the learner’s contribution.</w:t>
            </w:r>
          </w:p>
        </w:tc>
      </w:tr>
    </w:tbl>
    <w:p>
      <w:pPr>
        <w:pStyle w:val="Heading2"/>
      </w:pPr>
      <w:r>
        <w:t>Hinge and reteach</w:t>
      </w:r>
    </w:p>
    <w:p>
      <w:r>
        <w:t>The adult tray has a sheet and a pencil but no help card. Ask: “Is the job ready, or is something missing?” Expected: notice the help card; add it if available or tell the adult it is needed. If unsure, point to the job list, ask a short question, rephrase, offer a choice and model only the first needed action. Parallel recheck: a tray has a sheet and help card but no pencil.</w:t>
      </w:r>
    </w:p>
    <w:p>
      <w:pPr>
        <w:pStyle w:val="Heading2"/>
      </w:pPr>
      <w:r>
        <w:t>Common errors</w:t>
      </w:r>
    </w:p>
    <w:p>
      <w:r>
        <w:t>A finished tray alone does not show who prepared or checked it. Observe the actions. A missing item does not require pretending the job is done: reporting the need is responsible. Do not reward speed over safe work or call adult-completed actions independent.</w:t>
      </w:r>
    </w:p>
    <w:p>
      <w:r>
        <w:br w:type="page"/>
      </w:r>
    </w:p>
    <w:p>
      <w:pPr>
        <w:pStyle w:val="Title"/>
      </w:pPr>
      <w:r>
        <w:t>Teaching protocol and evidence</w:t>
      </w:r>
    </w:p>
    <w:p>
      <w:pPr>
        <w:pStyle w:val="Heading2"/>
      </w:pPr>
      <w:r>
        <w:t>Before and during the lesson</w:t>
      </w:r>
    </w:p>
    <w:p>
      <w:r>
        <w:t>Prepare one light work tray per learner, plain sheets, suitable pencils and printed help cards. Keep supplies within easy reach. Set an accessible place for each finished tray and a separate adult model tray. Plan the real follow-on task: each learner uses a prepared tray to draw one simple shape or make a chosen mark; the help card is available to request support. Print the two Evidence Sheet and two Support Cards pages and a Vocabulary Mat.</w:t>
      </w:r>
    </w:p>
    <w:p>
      <w:r>
        <w:t>Agree a small, safe class job with a clear finish point. Use light trays and ordinary checked stationery in an accessible work area. Adults manage any heavy item, high storage, spill or unsafe equipment. Do not use personal records or real names. A request for help is a responsible action, not failure. Respect a pause or adapted role; record what the learner did and what an adult completed. A group result does not prove that each learner completed the job.</w:t>
      </w:r>
    </w:p>
    <w:p>
      <w:r>
        <w:t>Give each learner one tray and a clear reachable supply area. Observe collecting, placing, checking and reporting individually. Offer the prompt ladder and usual aid. Record the learner’s actions separately from adult completion. Allow a responsible report of an unfinished need; do not treat a polished tray as the only evidence.</w:t>
      </w:r>
    </w:p>
    <w:p>
      <w:r>
        <w:t>The supplied job is resource preparation for an actual task within the lesson. If a different class job is used, staff record its exact brief, finish point, safety arrangements and observed learner actions. A role-card discussion alone does not establish responsibility for carrying out a job.</w:t>
      </w:r>
    </w:p>
    <w:p>
      <w:pPr>
        <w:pStyle w:val="Heading2"/>
      </w:pPr>
      <w:r>
        <w:t>Evidence decisions</w:t>
      </w:r>
    </w:p>
    <w:p>
      <w:r>
        <w:t>A dated observation of each learner preparing a work tray, checking it against the job card and reporting ready or a remaining need; actual actions, prompts, adult help and a next step are recorded.</w:t>
      </w:r>
    </w:p>
    <w:p>
      <w:r>
        <w:t>Record observed with stated help, partial or not yet observed. Keep first work, exact prompts, adult actions and later responses separate. Unseen steps remain gaps. No total score or qualification result is inferred.</w:t>
      </w:r>
    </w:p>
    <w:p>
      <w:pPr>
        <w:pStyle w:val="Heading2"/>
      </w:pPr>
      <w:r>
        <w:t>Feedback and next step</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Theme: Identity &amp; Belonging. This helps me finish a job, check it and report back.</w:t>
      </w:r>
    </w:p>
    <w:p>
      <w:r>
        <w:t>Weeks 1–6 are formative. Week 7 gathers and reviews the half-term evidence.</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VOCATIONAL-BUILD-A2-W05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care of a class job</dc:title>
  <dc:subject>VOCATIONAL-BUILD-A2-W05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