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6 teaching guide</w:t>
      </w:r>
    </w:p>
    <w:p>
      <w:r>
        <w:rPr>
          <w:b w:val="0"/>
          <w:sz w:val="18"/>
        </w:rPr>
        <w:t>Finish and restart · GROW computing · 40 minutes</w:t>
      </w:r>
    </w:p>
    <w:p>
      <w:r>
        <w:rPr>
          <w:b/>
        </w:rPr>
        <w:t>I can create a win response and start a fresh game.</w:t>
      </w:r>
    </w:p>
    <w:p>
      <w:pPr>
        <w:spacing w:after="100"/>
      </w:pPr>
      <w:hyperlink r:id="rId11">
        <w:r>
          <w:rPr>
            <w:color w:val="19624A"/>
            <w:u w:val="single"/>
          </w:rPr>
          <w:t>AQA 71638 Programming with Scratch unit 6</w:t>
        </w:r>
      </w:hyperlink>
    </w:p>
    <w:p>
      <w:pPr>
        <w:pStyle w:val="Heading2"/>
      </w:pPr>
      <w:r>
        <w:t>Before the lesson</w:t>
      </w:r>
    </w:p>
    <w:p>
      <w:r>
        <w:rPr>
          <w:b w:val="0"/>
        </w:rPr>
        <w:t>Open your own W05_Walls.sb3. Open the separate teacher model and check your school save route. Choose pupil booklets by current need. Keep the HTML or slides and the reference page ready.</w:t>
      </w:r>
    </w:p>
    <w:p>
      <w:r>
        <w:rPr>
          <w:b w:val="0"/>
        </w:rPr>
        <w:t>Teacher example: W06_Teacher_Model.sb3. Pupil access file: W06_Recovery_Collision.sb3. Recovery supplies prior work only. Use the pupil’s own project first.</w:t>
      </w:r>
    </w:p>
    <w:tbl>
      <w:tblPr>
        <w:tblW w:type="auto" w:w="0"/>
        <w:jc w:val="center"/>
        <w:tblLayout w:type="fixed"/>
        <w:tblLook w:firstColumn="1" w:firstRow="1" w:lastColumn="0" w:lastRow="0" w:noHBand="0" w:noVBand="1" w:val="04A0"/>
      </w:tblPr>
      <w:tblGrid>
        <w:gridCol w:w="2520"/>
        <w:gridCol w:w="7200"/>
      </w:tblGrid>
      <w:tr>
        <w:trPr>
          <w:cantSplit/>
          <w:tblHeader/>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0"/>
              </w:rPr>
              <w:t>Stage and time</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0"/>
              </w:rPr>
              <w:t>Teach and check</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Arrival</w:t>
              <w:br/>
              <w:t>0-3</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Open your own W05_Walls.sb3. Point to Finish.</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Starter</w:t>
              <w:br/>
              <w:t>3-6</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Player reaches Finish. Choose a clear, quiet win signal.</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I Do</w:t>
              <w:br/>
              <w:t>6-11</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Wait until Player touches Finish. This win script then reaches its end.</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We Do</w:t>
              <w:br/>
              <w:t>11-18</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Predict away from Finish and at Finish. Compare one response with repeated messages.</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I Do 2</w:t>
              <w:br/>
              <w:t>18-21</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First clear the old message. The green flag begins a new run.</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We Do 2 · Task</w:t>
              <w:br/>
              <w:t>21-25</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Win once. Click the green flag. Test the wall rule and win again.</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Independent Task</w:t>
              <w:br/>
              <w:t>25-35</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Create the win script on Player. Keep the controls and wall rule working.</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Exit</w:t>
              <w:br/>
              <w:t>35-40</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Save as W06_Win.sb3. Agree the next step with your teacher.</w:t>
            </w:r>
          </w:p>
        </w:tc>
      </w:tr>
    </w:tbl>
    <w:p>
      <w:pPr>
        <w:spacing w:after="0"/>
      </w:pPr>
      <w:r>
        <w:rPr>
          <w:b w:val="0"/>
        </w:rPr>
      </w:r>
    </w:p>
    <w:p>
      <w:r>
        <w:rPr>
          <w:b w:val="0"/>
          <w:sz w:val="18"/>
        </w:rPr>
        <w:t>Independent Task: allow 25-32 for making and testing, then 32-35 for an individual demonstration and pupil voice. Exit stays at 35-40.</w:t>
      </w:r>
    </w:p>
    <w:p>
      <w:pPr>
        <w:pStyle w:val="Heading2"/>
      </w:pPr>
      <w:r>
        <w:t>Choose the task route</w:t>
      </w:r>
    </w:p>
    <w:p>
      <w:r>
        <w:rPr>
          <w:b w:val="0"/>
        </w:rPr>
        <w:t>Step by step: Use the win reference and build one part at a time.</w:t>
      </w:r>
    </w:p>
    <w:p>
      <w:r>
        <w:rPr>
          <w:b w:val="0"/>
        </w:rPr>
        <w:t>Main task: Build a win response and test a fresh run.</w:t>
      </w:r>
    </w:p>
    <w:p>
      <w:r>
        <w:rPr>
          <w:b w:val="0"/>
        </w:rPr>
        <w:t>Challenge: Repair repeated win behaviour and retest the game.</w:t>
      </w:r>
    </w:p>
    <w:p>
      <w:pPr>
        <w:pStyle w:val="Title"/>
        <w:pageBreakBefore/>
      </w:pPr>
      <w:r>
        <w:t>Teaching notes and answers</w:t>
      </w:r>
    </w:p>
    <w:p>
      <w:r>
        <w:rPr>
          <w:b w:val="0"/>
          <w:sz w:val="18"/>
        </w:rPr>
        <w:t>Use the teacher model for demonstration, then return to pupil construction</w:t>
      </w:r>
    </w:p>
    <w:p>
      <w:r>
        <w:rPr>
          <w:b w:val="0"/>
        </w:rPr>
        <w:t>The recovery supplies controls and a wall rule but no win script. Select Player. Add a new flag script with say [empty text], go to the safe start, wait until touching Finish, then say [Made it!]. The wait block comes from Control; its condition comes from Sensing. Put the start blocks in this same script before the wait so the order is explicit. Keep other start blocks at the same coordinates. The win script ends after one say. The key scripts and wall rule remain active. The bug example loops two timed messages. Use the HTML counter or let the bug remain at Finish long enough to see the repeating messages. After a fresh flag, test a wall and a new win. Review unfinished construction now and agree extra sessions before Week 7 complexity.</w:t>
      </w:r>
    </w:p>
    <w:p>
      <w:pPr>
        <w:pStyle w:val="Heading2"/>
      </w:pPr>
      <w:r>
        <w:t>Block and design reference</w:t>
      </w:r>
    </w:p>
    <w:tbl>
      <w:tblPr>
        <w:tblW w:type="auto" w:w="0"/>
        <w:jc w:val="center"/>
        <w:tblLayout w:type="fixed"/>
        <w:tblLook w:firstColumn="1" w:firstRow="1" w:lastColumn="0" w:lastRow="0" w:noHBand="0" w:noVBand="1" w:val="04A0"/>
      </w:tblPr>
      <w:tblGrid>
        <w:gridCol w:w="1872"/>
        <w:gridCol w:w="7848"/>
      </w:tblGrid>
      <w:tr>
        <w:trPr>
          <w:cantSplit/>
          <w:tblHeader/>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0"/>
              </w:rPr>
              <w:t>Find this</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0"/>
              </w:rPr>
              <w:t>Use it like this</w:t>
            </w:r>
          </w:p>
        </w:tc>
      </w:tr>
      <w:tr>
        <w:trPr>
          <w:cantSplit/>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First</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when green flag clicked; say [blank]; go to your start</w:t>
            </w:r>
          </w:p>
        </w:tc>
      </w:tr>
      <w:tr>
        <w:trPr>
          <w:cantSplit/>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Control</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wait until contains touching [Finish]? from Sensing</w:t>
            </w:r>
          </w:p>
        </w:tc>
      </w:tr>
      <w:tr>
        <w:trPr>
          <w:cantSplit/>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Win action</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Join say [your message] below wait until. The script then reaches its end.</w:t>
            </w:r>
          </w:p>
        </w:tc>
      </w:tr>
      <w:tr>
        <w:trPr>
          <w:cantSplit/>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Looks choice</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Use say [message], with no seconds. Leave the first say text box empty.</w:t>
            </w:r>
          </w:p>
        </w:tc>
      </w:tr>
      <w:tr>
        <w:trPr>
          <w:cantSplit/>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During play</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Keep the four key scripts and wall rule. They still work after the win message.</w:t>
            </w:r>
          </w:p>
        </w:tc>
      </w:tr>
    </w:tbl>
    <w:p>
      <w:pPr>
        <w:spacing w:after="0"/>
      </w:pPr>
      <w:r>
        <w:rPr>
          <w:b w:val="0"/>
        </w:rPr>
      </w:r>
    </w:p>
    <w:p>
      <w:pPr>
        <w:pStyle w:val="Heading2"/>
      </w:pPr>
      <w:r>
        <w:t>Expected answers</w:t>
      </w:r>
    </w:p>
    <w:p>
      <w:r>
        <w:rPr>
          <w:b w:val="0"/>
        </w:rPr>
        <w:t>1. The wait until condition checks Finish. The wall rule still checks Maze.</w:t>
      </w:r>
    </w:p>
    <w:p>
      <w:r>
        <w:rPr>
          <w:b w:val="0"/>
        </w:rPr>
        <w:t>2. Wait until pauses this script until contact is true. It then says the message and reaches its end. It has no loop to repeat the response.</w:t>
      </w:r>
    </w:p>
    <w:p>
      <w:r>
        <w:rPr>
          <w:b w:val="0"/>
        </w:rPr>
        <w:t>3. The empty say clears the old bubble. This win script goes to the safe start before waiting, so a restart does not win immediately from the old finish position.</w:t>
      </w:r>
    </w:p>
    <w:p>
      <w:r>
        <w:rPr>
          <w:b w:val="0"/>
        </w:rPr>
        <w:t>4. In the bug project, a forever check repeats two timed win messages while Player remains at Finish. Replace that repeated response with wait until touching Finish followed by one say block.</w:t>
      </w:r>
    </w:p>
    <w:p>
      <w:r>
        <w:rPr>
          <w:b w:val="0"/>
        </w:rPr>
        <w:t>5. The key controls and wall rule intentionally remain active after the message. Test a fresh flag, one wall and a new win.</w:t>
      </w:r>
    </w:p>
    <w:p>
      <w:r>
        <w:rPr>
          <w:b w:val="0"/>
        </w:rPr>
        <w:t>6. Review outcomes 1-4 at Week 6. The required gameplay complexity and full testing in Weeks 7-8 remain; this is not the whole unit completed.</w:t>
      </w:r>
    </w:p>
    <w:p>
      <w:pPr>
        <w:pStyle w:val="Heading2"/>
      </w:pPr>
      <w:r>
        <w:t>A likely misconception</w:t>
      </w:r>
    </w:p>
    <w:p>
      <w:r>
        <w:rPr>
          <w:b w:val="0"/>
        </w:rPr>
        <w:t>Putting the say block before wait until shows the win too soon. Putting the whole response in forever can repeat it. Reset before a fresh test.</w:t>
      </w:r>
    </w:p>
    <w:p>
      <w:pPr>
        <w:pStyle w:val="Title"/>
        <w:pageBreakBefore/>
      </w:pPr>
      <w:r>
        <w:t>Access and evidence</w:t>
      </w:r>
    </w:p>
    <w:p>
      <w:r>
        <w:rPr>
          <w:b w:val="0"/>
          <w:sz w:val="18"/>
        </w:rPr>
        <w:t>Record the pupil action and the support used</w:t>
      </w:r>
    </w:p>
    <w:p>
      <w:pPr>
        <w:pStyle w:val="Heading2"/>
      </w:pPr>
      <w:r>
        <w:t>Flexible support</w:t>
      </w:r>
    </w:p>
    <w:tbl>
      <w:tblPr>
        <w:tblW w:type="auto" w:w="0"/>
        <w:jc w:val="center"/>
        <w:tblLayout w:type="fixed"/>
        <w:tblLook w:firstColumn="1" w:firstRow="1" w:lastColumn="0" w:lastRow="0" w:noHBand="0" w:noVBand="1" w:val="04A0"/>
      </w:tblPr>
      <w:tblGrid>
        <w:gridCol w:w="2304"/>
        <w:gridCol w:w="7416"/>
      </w:tblGrid>
      <w:tr>
        <w:trPr>
          <w:cantSplit/>
          <w:tblHeader/>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0"/>
              </w:rPr>
              <w:t>Current need</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0"/>
              </w:rPr>
              <w:t>Adaptation</w:t>
            </w:r>
          </w:p>
        </w:tc>
      </w:tr>
      <w:tr>
        <w:trPr>
          <w:cantSplit/>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Reading or memory</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Use short instructions, the reference and one visible next action. Read aloud privately.</w:t>
            </w:r>
          </w:p>
        </w:tc>
      </w:tr>
      <w:tr>
        <w:trPr>
          <w:cantSplit/>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Communication</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Accept speech, pointing, drawing or exact-word scribing. Give thinking time.</w:t>
            </w:r>
          </w:p>
        </w:tc>
      </w:tr>
      <w:tr>
        <w:trPr>
          <w:cantSplit/>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Keyboard or pointer access</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Use an agreed school access device or let the pupil direct an adult. Record the method and check evidence arrangements with the UAS lead.</w:t>
            </w:r>
          </w:p>
        </w:tc>
      </w:tr>
      <w:tr>
        <w:trPr>
          <w:cantSplit/>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Regulation or attention</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Offer quiet work, a pause and the same return step. Do not make a public performance necessary.</w:t>
            </w:r>
          </w:p>
        </w:tc>
      </w:tr>
      <w:tr>
        <w:trPr>
          <w:cantSplit/>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Ready to transfer</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Use Challenge after the common goal. Ask for a prediction and explanation rather than extra writing.</w:t>
            </w:r>
          </w:p>
        </w:tc>
      </w:tr>
    </w:tbl>
    <w:p>
      <w:pPr>
        <w:spacing w:after="0"/>
      </w:pPr>
      <w:r>
        <w:rPr>
          <w:b w:val="0"/>
        </w:rPr>
      </w:r>
    </w:p>
    <w:p>
      <w:pPr>
        <w:pStyle w:val="Heading2"/>
      </w:pPr>
      <w:r>
        <w:t>Pupil voice with a response</w:t>
      </w:r>
    </w:p>
    <w:p>
      <w:r>
        <w:rPr>
          <w:b w:val="0"/>
        </w:rPr>
        <w:t>Choose a short win message or a quiet visual signal. Test whether it is clear and comfortable.</w:t>
      </w:r>
    </w:p>
    <w:p>
      <w:r>
        <w:rPr>
          <w:b w:val="0"/>
        </w:rPr>
        <w:t>Ask “What I said, and what it changed”. Listen and reply: use it now, adapt it together, or defer it with a reason. Make any agreed change visible. An adult may record exact pupil words. No signature is required from the pupil’s audience.</w:t>
      </w:r>
    </w:p>
    <w:p>
      <w:pPr>
        <w:pStyle w:val="Heading2"/>
      </w:pPr>
      <w:r>
        <w:t>Individual evidence</w:t>
      </w:r>
    </w:p>
    <w:p>
      <w:r>
        <w:rPr>
          <w:b w:val="0"/>
        </w:rPr>
        <w:t>AQA 71638 outcome 4: Observe pupil construction and demonstration of the win script. Record a win and a restarted run. Audit outcomes 1-4 individually; do not claim outcomes 5-6 from the teacher model.</w:t>
      </w:r>
    </w:p>
    <w:tbl>
      <w:tblPr>
        <w:tblW w:type="auto" w:w="0"/>
        <w:jc w:val="center"/>
        <w:tblLayout w:type="fixed"/>
        <w:tblLook w:firstColumn="1" w:firstRow="1" w:lastColumn="0" w:lastRow="0" w:noHBand="0" w:noVBand="1" w:val="04A0"/>
      </w:tblPr>
      <w:tblGrid>
        <w:gridCol w:w="6048"/>
        <w:gridCol w:w="3672"/>
      </w:tblGrid>
      <w:tr>
        <w:trPr>
          <w:cantSplit/>
          <w:tblHeader/>
        </w:trPr>
        <w:tc>
          <w:tcPr>
            <w:tcW w:type="dxa" w:w="60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0"/>
              </w:rPr>
              <w:t>Pupil action or check</w:t>
            </w:r>
          </w:p>
        </w:tc>
        <w:tc>
          <w:tcPr>
            <w:tcW w:type="dxa" w:w="36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0"/>
              </w:rPr>
              <w:t>Date and support used</w:t>
            </w:r>
          </w:p>
        </w:tc>
      </w:tr>
      <w:tr>
        <w:trPr>
          <w:cantSplit/>
        </w:trPr>
        <w:tc>
          <w:tcPr>
            <w:tcW w:type="dxa" w:w="60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I created a wait until condition that checks touching Finish.</w:t>
            </w:r>
          </w:p>
        </w:tc>
        <w:tc>
          <w:tcPr>
            <w:tcW w:type="dxa" w:w="36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r>
          </w:p>
        </w:tc>
      </w:tr>
      <w:tr>
        <w:trPr>
          <w:cantSplit/>
        </w:trPr>
        <w:tc>
          <w:tcPr>
            <w:tcW w:type="dxa" w:w="60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My win message appears once per green-flag run.</w:t>
            </w:r>
          </w:p>
        </w:tc>
        <w:tc>
          <w:tcPr>
            <w:tcW w:type="dxa" w:w="36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r>
          </w:p>
        </w:tc>
      </w:tr>
      <w:tr>
        <w:trPr>
          <w:cantSplit/>
        </w:trPr>
        <w:tc>
          <w:tcPr>
            <w:tcW w:type="dxa" w:w="60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The flag clears the message and returns Player to the start.</w:t>
            </w:r>
          </w:p>
        </w:tc>
        <w:tc>
          <w:tcPr>
            <w:tcW w:type="dxa" w:w="36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r>
          </w:p>
        </w:tc>
      </w:tr>
      <w:tr>
        <w:trPr>
          <w:cantSplit/>
        </w:trPr>
        <w:tc>
          <w:tcPr>
            <w:tcW w:type="dxa" w:w="60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The controls and wall rule still work, and I can win again after restart.</w:t>
            </w:r>
          </w:p>
        </w:tc>
        <w:tc>
          <w:tcPr>
            <w:tcW w:type="dxa" w:w="36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r>
          </w:p>
        </w:tc>
      </w:tr>
    </w:tbl>
    <w:p>
      <w:pPr>
        <w:spacing w:after="0"/>
      </w:pPr>
      <w:r>
        <w:rPr>
          <w:b w:val="0"/>
        </w:rPr>
      </w:r>
    </w:p>
    <w:p>
      <w:r>
        <w:rPr>
          <w:b w:val="0"/>
          <w:sz w:val="18"/>
        </w:rPr>
        <w:t>Record completed outcomes on the AQA summary sheet. Do not infer creation from supplied code. Outcomes 5 and 6 remain in Weeks 7 and 8; check every outcome individually.</w:t>
      </w:r>
    </w:p>
    <w:p>
      <w:pPr>
        <w:pStyle w:val="Heading2"/>
      </w:pPr>
      <w:r>
        <w:t>If a device is unavailable</w:t>
      </w:r>
    </w:p>
    <w:p>
      <w:r>
        <w:rPr>
          <w:b w:val="0"/>
          <w:sz w:val="18"/>
        </w:rPr>
        <w:t>Use at-Finish/away-from-Finish pictures and the win action reference. The pupil chooses the condition and response, then rehearses restart. Run and save the actual script on a device later.</w:t>
      </w:r>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Week 6 teacher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9624A"/>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DejaVu Sans" w:hAnsi="DejaVu Sans"/>
      <w:color w:val="172A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qa.org.uk/programmes/unit-award-scheme/unit-details?unit=716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teacher guide</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