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My body and privacy</w:t>
      </w:r>
    </w:p>
    <w:p>
      <w:r>
        <w:rPr>
          <w:b w:val="0"/>
        </w:rPr>
        <w:t>Week beginning 16 November 2026 · one 40-minute lesson</w:t>
      </w:r>
    </w:p>
    <w:p>
      <w:r>
        <w:rPr>
          <w:b w:val="0"/>
        </w:rPr>
        <w:t>Actual date __________________  Staff role ______________</w:t>
      </w:r>
    </w:p>
    <w:p>
      <w:r>
        <w:rPr>
          <w:b w:val="0"/>
        </w:rPr>
        <w:t>Year A · Term theme: Identity &amp; Belonging</w:t>
      </w:r>
    </w:p>
    <w:p>
      <w:r>
        <w:rPr>
          <w:b w:val="0"/>
          <w:sz w:val="19"/>
        </w:rPr>
        <w:t>Thread tags: SMSC S/M/So (C: none); British Values IL/MR (D/RL/T: none).</w:t>
      </w:r>
    </w:p>
    <w:p>
      <w:pPr>
        <w:pStyle w:val="Heading1"/>
      </w:pPr>
      <w:r>
        <w:rPr>
          <w:b w:val="0"/>
        </w:rPr>
        <w:t>Approved objective and source</w:t>
      </w:r>
    </w:p>
    <w:p>
      <w:r>
        <w:rPr>
          <w:b w:val="0"/>
        </w:rPr>
        <w:t>Use accurate taught body-part words and recognise a basic privacy rule.</w:t>
      </w:r>
    </w:p>
    <w:p>
      <w:r>
        <w:rPr>
          <w:b w:val="0"/>
          <w:sz w:val="19"/>
        </w:rPr>
        <w:t>Owner-approved standalone RSHE outline, 26 October 2026. The approved outline is the weekly source; no separate weekly workbook row is asserted.</w:t>
      </w:r>
    </w:p>
    <w:p>
      <w:pPr>
        <w:pStyle w:val="Heading1"/>
      </w:pPr>
      <w:r>
        <w:rPr>
          <w:b w:val="0"/>
        </w:rPr>
        <w:t>Purpose and success checks</w:t>
      </w:r>
    </w:p>
    <w:p>
      <w:r>
        <w:rPr>
          <w:b w:val="0"/>
        </w:rPr>
        <w:t>A teen must change. The door is shut. A peer waits. Is this fair?</w:t>
      </w:r>
    </w:p>
    <w:p>
      <w:r>
        <w:rPr>
          <w:b w:val="0"/>
        </w:rPr>
        <w:t>Match a taught word to the diagram. Make two choices about the stories. Show how the person could get help.</w:t>
      </w:r>
    </w:p>
    <w:p>
      <w:r>
        <w:rPr>
          <w:b w:val="0"/>
          <w:sz w:val="19"/>
        </w:rPr>
        <w:t>RSHE-BUILD-A2-W03-E1: An individual vocabulary response and two privacy decisions, with support recorded.</w:t>
      </w:r>
    </w:p>
    <w:p>
      <w:pPr>
        <w:pStyle w:val="Heading1"/>
      </w:pPr>
      <w:r>
        <w:rPr>
          <w:b w:val="0"/>
        </w:rPr>
        <w:t>Before pupils arrive</w:t>
      </w:r>
    </w:p>
    <w:p>
      <w:r>
        <w:rPr>
          <w:b w:val="0"/>
        </w:rPr>
        <w:t>Print both evidence pages and the three support pages. Keep the labelled diagram whole. Cut the four word cards and the six fictional story cards; retain the response mat. Check the taught words before the lesson. Staff may substitute the setting’s own taught list, using plain anatomical terms and matching diagrams, then update the recorded vocabulary. Prepare a separate adult model. No learner’s body is used as a teaching aid.</w:t>
      </w:r>
    </w:p>
    <w:p>
      <w:pPr>
        <w:pStyle w:val="Heading1"/>
      </w:pPr>
      <w:r>
        <w:rPr>
          <w:b w:val="0"/>
        </w:rPr>
        <w:t>Calendar and continuity</w:t>
      </w:r>
    </w:p>
    <w:p>
      <w:r>
        <w:rPr>
          <w:b w:val="0"/>
        </w:rPr>
        <w:t>Year A. Autumn 2 Week 3: 16–20 November 2026. One 40-minute RSHE lesson. No day or clock slot is inferred. This lesson is formative. Week 7 is the assessing lesson.</w:t>
      </w:r>
    </w:p>
    <w:p>
      <w:pPr>
        <w:pStyle w:val="Heading1"/>
      </w:pPr>
      <w:r>
        <w:rPr>
          <w:b w:val="0"/>
        </w:rPr>
        <w:t>Where this leads</w:t>
      </w:r>
    </w:p>
    <w:p>
      <w:r>
        <w:rPr>
          <w:b w:val="0"/>
        </w:rPr>
        <w:t>This helps me respect privacy and dignity in shared spaces.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720"/>
        <w:gridCol w:w="648"/>
        <w:gridCol w:w="8568"/>
      </w:tblGrid>
      <w:tr>
        <w:trPr>
          <w:tblHeader/>
        </w:trPr>
        <w:tc>
          <w:tcPr>
            <w:tcW w:type="dxa" w:w="720"/>
          </w:tcPr>
          <w:p>
            <w:pPr>
              <w:spacing w:after="60" w:before="40"/>
            </w:pPr>
            <w:r>
              <w:rPr>
                <w:b/>
                <w:sz w:val="19"/>
              </w:rPr>
              <w:t>Slide</w:t>
            </w:r>
          </w:p>
        </w:tc>
        <w:tc>
          <w:tcPr>
            <w:tcW w:type="dxa" w:w="648"/>
          </w:tcPr>
          <w:p>
            <w:pPr>
              <w:spacing w:after="60" w:before="40"/>
            </w:pPr>
            <w:r>
              <w:rPr>
                <w:b/>
                <w:sz w:val="19"/>
              </w:rPr>
              <w:t>Min</w:t>
            </w:r>
          </w:p>
        </w:tc>
        <w:tc>
          <w:tcPr>
            <w:tcW w:type="dxa" w:w="8568"/>
          </w:tcPr>
          <w:p>
            <w:pPr>
              <w:spacing w:after="60" w:before="40"/>
            </w:pPr>
            <w:r>
              <w:rPr>
                <w:b/>
                <w:sz w:val="19"/>
              </w:rPr>
              <w:t>Action</w:t>
            </w:r>
          </w:p>
        </w:tc>
      </w:tr>
      <w:tr>
        <w:tc>
          <w:tcPr>
            <w:tcW w:type="dxa" w:w="720"/>
          </w:tcPr>
          <w:p>
            <w:pPr>
              <w:spacing w:after="60" w:before="40"/>
            </w:pPr>
            <w:r>
              <w:rPr>
                <w:b w:val="0"/>
                <w:sz w:val="19"/>
              </w:rPr>
              <w:t>1</w:t>
            </w:r>
          </w:p>
        </w:tc>
        <w:tc>
          <w:tcPr>
            <w:tcW w:type="dxa" w:w="648"/>
          </w:tcPr>
          <w:p>
            <w:pPr>
              <w:spacing w:after="60" w:before="40"/>
            </w:pPr>
            <w:r>
              <w:rPr>
                <w:b w:val="0"/>
                <w:sz w:val="19"/>
              </w:rPr>
              <w:t>0</w:t>
            </w:r>
          </w:p>
        </w:tc>
        <w:tc>
          <w:tcPr>
            <w:tcW w:type="dxa" w:w="8568"/>
          </w:tcPr>
          <w:p>
            <w:pPr>
              <w:spacing w:after="60" w:before="40"/>
            </w:pPr>
            <w:r>
              <w:rPr>
                <w:b w:val="0"/>
                <w:sz w:val="19"/>
              </w:rPr>
              <w:t>Open the title before the timed sequence.</w:t>
            </w:r>
          </w:p>
        </w:tc>
      </w:tr>
      <w:tr>
        <w:tc>
          <w:tcPr>
            <w:tcW w:type="dxa" w:w="720"/>
          </w:tcPr>
          <w:p>
            <w:pPr>
              <w:spacing w:after="60" w:before="40"/>
            </w:pPr>
            <w:r>
              <w:rPr>
                <w:b w:val="0"/>
                <w:sz w:val="19"/>
              </w:rPr>
              <w:t>2</w:t>
            </w:r>
          </w:p>
        </w:tc>
        <w:tc>
          <w:tcPr>
            <w:tcW w:type="dxa" w:w="648"/>
          </w:tcPr>
          <w:p>
            <w:pPr>
              <w:spacing w:after="60" w:before="40"/>
            </w:pPr>
            <w:r>
              <w:rPr>
                <w:b w:val="0"/>
                <w:sz w:val="19"/>
              </w:rPr>
              <w:t>3</w:t>
            </w:r>
          </w:p>
        </w:tc>
        <w:tc>
          <w:tcPr>
            <w:tcW w:type="dxa" w:w="8568"/>
          </w:tcPr>
          <w:p>
            <w:pPr>
              <w:spacing w:after="60" w:before="40"/>
            </w:pPr>
            <w:r>
              <w:rPr>
                <w:b w:val="0"/>
                <w:sz w:val="19"/>
              </w:rPr>
              <w:t>Calm arrival and support choice.</w:t>
            </w:r>
          </w:p>
        </w:tc>
      </w:tr>
      <w:tr>
        <w:tc>
          <w:tcPr>
            <w:tcW w:type="dxa" w:w="720"/>
          </w:tcPr>
          <w:p>
            <w:pPr>
              <w:spacing w:after="60" w:before="40"/>
            </w:pPr>
            <w:r>
              <w:rPr>
                <w:b w:val="0"/>
                <w:sz w:val="19"/>
              </w:rPr>
              <w:t>3</w:t>
            </w:r>
          </w:p>
        </w:tc>
        <w:tc>
          <w:tcPr>
            <w:tcW w:type="dxa" w:w="648"/>
          </w:tcPr>
          <w:p>
            <w:pPr>
              <w:spacing w:after="60" w:before="40"/>
            </w:pPr>
            <w:r>
              <w:rPr>
                <w:b w:val="0"/>
                <w:sz w:val="19"/>
              </w:rPr>
              <w:t>3</w:t>
            </w:r>
          </w:p>
        </w:tc>
        <w:tc>
          <w:tcPr>
            <w:tcW w:type="dxa" w:w="8568"/>
          </w:tcPr>
          <w:p>
            <w:pPr>
              <w:spacing w:after="60" w:before="40"/>
            </w:pPr>
            <w:r>
              <w:rPr>
                <w:b w:val="0"/>
                <w:sz w:val="19"/>
              </w:rPr>
              <w:t>Read the fictional young person’s story.</w:t>
            </w:r>
          </w:p>
        </w:tc>
      </w:tr>
      <w:tr>
        <w:tc>
          <w:tcPr>
            <w:tcW w:type="dxa" w:w="720"/>
          </w:tcPr>
          <w:p>
            <w:pPr>
              <w:spacing w:after="60" w:before="40"/>
            </w:pPr>
            <w:r>
              <w:rPr>
                <w:b w:val="0"/>
                <w:sz w:val="19"/>
              </w:rPr>
              <w:t>4</w:t>
            </w:r>
          </w:p>
        </w:tc>
        <w:tc>
          <w:tcPr>
            <w:tcW w:type="dxa" w:w="648"/>
          </w:tcPr>
          <w:p>
            <w:pPr>
              <w:spacing w:after="60" w:before="40"/>
            </w:pPr>
            <w:r>
              <w:rPr>
                <w:b w:val="0"/>
                <w:sz w:val="19"/>
              </w:rPr>
              <w:t>0</w:t>
            </w:r>
          </w:p>
        </w:tc>
        <w:tc>
          <w:tcPr>
            <w:tcW w:type="dxa" w:w="8568"/>
          </w:tcPr>
          <w:p>
            <w:pPr>
              <w:spacing w:after="60" w:before="40"/>
            </w:pPr>
            <w:r>
              <w:rPr>
                <w:b w:val="0"/>
                <w:sz w:val="19"/>
              </w:rPr>
              <w:t>Read the objective and success checks.</w:t>
            </w:r>
          </w:p>
        </w:tc>
      </w:tr>
      <w:tr>
        <w:tc>
          <w:tcPr>
            <w:tcW w:type="dxa" w:w="720"/>
          </w:tcPr>
          <w:p>
            <w:pPr>
              <w:spacing w:after="60" w:before="40"/>
            </w:pPr>
            <w:r>
              <w:rPr>
                <w:b w:val="0"/>
                <w:sz w:val="19"/>
              </w:rPr>
              <w:t>5</w:t>
            </w:r>
          </w:p>
        </w:tc>
        <w:tc>
          <w:tcPr>
            <w:tcW w:type="dxa" w:w="648"/>
          </w:tcPr>
          <w:p>
            <w:pPr>
              <w:spacing w:after="60" w:before="40"/>
            </w:pPr>
            <w:r>
              <w:rPr>
                <w:b w:val="0"/>
                <w:sz w:val="19"/>
              </w:rPr>
              <w:t>5</w:t>
            </w:r>
          </w:p>
        </w:tc>
        <w:tc>
          <w:tcPr>
            <w:tcW w:type="dxa" w:w="8568"/>
          </w:tcPr>
          <w:p>
            <w:pPr>
              <w:spacing w:after="60" w:before="40"/>
            </w:pPr>
            <w:r>
              <w:rPr>
                <w:b w:val="0"/>
                <w:sz w:val="19"/>
              </w:rPr>
              <w:t>Model with a separate set.</w:t>
            </w:r>
          </w:p>
        </w:tc>
      </w:tr>
      <w:tr>
        <w:tc>
          <w:tcPr>
            <w:tcW w:type="dxa" w:w="720"/>
          </w:tcPr>
          <w:p>
            <w:pPr>
              <w:spacing w:after="60" w:before="40"/>
            </w:pPr>
            <w:r>
              <w:rPr>
                <w:b w:val="0"/>
                <w:sz w:val="19"/>
              </w:rPr>
              <w:t>6</w:t>
            </w:r>
          </w:p>
        </w:tc>
        <w:tc>
          <w:tcPr>
            <w:tcW w:type="dxa" w:w="648"/>
          </w:tcPr>
          <w:p>
            <w:pPr>
              <w:spacing w:after="60" w:before="40"/>
            </w:pPr>
            <w:r>
              <w:rPr>
                <w:b w:val="0"/>
                <w:sz w:val="19"/>
              </w:rPr>
              <w:t>5</w:t>
            </w:r>
          </w:p>
        </w:tc>
        <w:tc>
          <w:tcPr>
            <w:tcW w:type="dxa" w:w="8568"/>
          </w:tcPr>
          <w:p>
            <w:pPr>
              <w:spacing w:after="60" w:before="40"/>
            </w:pPr>
            <w:r>
              <w:rPr>
                <w:b w:val="0"/>
                <w:sz w:val="19"/>
              </w:rPr>
              <w:t>Hinge check and brief reteach.</w:t>
            </w:r>
          </w:p>
        </w:tc>
      </w:tr>
      <w:tr>
        <w:tc>
          <w:tcPr>
            <w:tcW w:type="dxa" w:w="720"/>
          </w:tcPr>
          <w:p>
            <w:pPr>
              <w:spacing w:after="60" w:before="40"/>
            </w:pPr>
            <w:r>
              <w:rPr>
                <w:b w:val="0"/>
                <w:sz w:val="19"/>
              </w:rPr>
              <w:t>7</w:t>
            </w:r>
          </w:p>
        </w:tc>
        <w:tc>
          <w:tcPr>
            <w:tcW w:type="dxa" w:w="648"/>
          </w:tcPr>
          <w:p>
            <w:pPr>
              <w:spacing w:after="60" w:before="40"/>
            </w:pPr>
            <w:r>
              <w:rPr>
                <w:b w:val="0"/>
                <w:sz w:val="19"/>
              </w:rPr>
              <w:t>12</w:t>
            </w:r>
          </w:p>
        </w:tc>
        <w:tc>
          <w:tcPr>
            <w:tcW w:type="dxa" w:w="8568"/>
          </w:tcPr>
          <w:p>
            <w:pPr>
              <w:spacing w:after="60" w:before="40"/>
            </w:pPr>
            <w:r>
              <w:rPr>
                <w:b w:val="0"/>
                <w:sz w:val="19"/>
              </w:rPr>
              <w:t>Individual task with the chosen route.</w:t>
            </w:r>
          </w:p>
        </w:tc>
      </w:tr>
      <w:tr>
        <w:tc>
          <w:tcPr>
            <w:tcW w:type="dxa" w:w="720"/>
          </w:tcPr>
          <w:p>
            <w:pPr>
              <w:spacing w:after="60" w:before="40"/>
            </w:pPr>
            <w:r>
              <w:rPr>
                <w:b w:val="0"/>
                <w:sz w:val="19"/>
              </w:rPr>
              <w:t>8</w:t>
            </w:r>
          </w:p>
        </w:tc>
        <w:tc>
          <w:tcPr>
            <w:tcW w:type="dxa" w:w="648"/>
          </w:tcPr>
          <w:p>
            <w:pPr>
              <w:spacing w:after="60" w:before="40"/>
            </w:pPr>
            <w:r>
              <w:rPr>
                <w:b w:val="0"/>
                <w:sz w:val="19"/>
              </w:rPr>
              <w:t>6</w:t>
            </w:r>
          </w:p>
        </w:tc>
        <w:tc>
          <w:tcPr>
            <w:tcW w:type="dxa" w:w="8568"/>
          </w:tcPr>
          <w:p>
            <w:pPr>
              <w:spacing w:after="60" w:before="40"/>
            </w:pPr>
            <w:r>
              <w:rPr>
                <w:b w:val="0"/>
                <w:sz w:val="19"/>
              </w:rPr>
              <w:t>Record actual work, response and support.</w:t>
            </w:r>
          </w:p>
        </w:tc>
      </w:tr>
      <w:tr>
        <w:tc>
          <w:tcPr>
            <w:tcW w:type="dxa" w:w="720"/>
          </w:tcPr>
          <w:p>
            <w:pPr>
              <w:spacing w:after="60" w:before="40"/>
            </w:pPr>
            <w:r>
              <w:rPr>
                <w:b w:val="0"/>
                <w:sz w:val="19"/>
              </w:rPr>
              <w:t>9</w:t>
            </w:r>
          </w:p>
        </w:tc>
        <w:tc>
          <w:tcPr>
            <w:tcW w:type="dxa" w:w="648"/>
          </w:tcPr>
          <w:p>
            <w:pPr>
              <w:spacing w:after="60" w:before="40"/>
            </w:pPr>
            <w:r>
              <w:rPr>
                <w:b w:val="0"/>
                <w:sz w:val="19"/>
              </w:rPr>
              <w:t>4</w:t>
            </w:r>
          </w:p>
        </w:tc>
        <w:tc>
          <w:tcPr>
            <w:tcW w:type="dxa" w:w="8568"/>
          </w:tcPr>
          <w:p>
            <w:pPr>
              <w:spacing w:after="60" w:before="40"/>
            </w:pPr>
            <w:r>
              <w:rPr>
                <w:b w:val="0"/>
                <w:sz w:val="19"/>
              </w:rPr>
              <w:t>Tidy and check work references.</w:t>
            </w:r>
          </w:p>
        </w:tc>
      </w:tr>
      <w:tr>
        <w:tc>
          <w:tcPr>
            <w:tcW w:type="dxa" w:w="720"/>
          </w:tcPr>
          <w:p>
            <w:pPr>
              <w:spacing w:after="60" w:before="40"/>
            </w:pPr>
            <w:r>
              <w:rPr>
                <w:b w:val="0"/>
                <w:sz w:val="19"/>
              </w:rPr>
              <w:t>10</w:t>
            </w:r>
          </w:p>
        </w:tc>
        <w:tc>
          <w:tcPr>
            <w:tcW w:type="dxa" w:w="648"/>
          </w:tcPr>
          <w:p>
            <w:pPr>
              <w:spacing w:after="60" w:before="40"/>
            </w:pPr>
            <w:r>
              <w:rPr>
                <w:b w:val="0"/>
                <w:sz w:val="19"/>
              </w:rPr>
              <w:t>2</w:t>
            </w:r>
          </w:p>
        </w:tc>
        <w:tc>
          <w:tcPr>
            <w:tcW w:type="dxa" w:w="8568"/>
          </w:tcPr>
          <w:p>
            <w:pPr>
              <w:spacing w:after="60" w:before="40"/>
            </w:pPr>
            <w:r>
              <w:rPr>
                <w:b w:val="0"/>
                <w:sz w:val="19"/>
              </w:rPr>
              <w:t>Individual exit response and next step.</w:t>
            </w:r>
          </w:p>
        </w:tc>
      </w:tr>
      <w:tr>
        <w:tc>
          <w:tcPr>
            <w:tcW w:type="dxa" w:w="720"/>
          </w:tcPr>
          <w:p>
            <w:pPr>
              <w:spacing w:after="60" w:before="40"/>
            </w:pPr>
            <w:r>
              <w:rPr>
                <w:b w:val="0"/>
                <w:sz w:val="19"/>
              </w:rPr>
              <w:t>11</w:t>
            </w:r>
          </w:p>
        </w:tc>
        <w:tc>
          <w:tcPr>
            <w:tcW w:type="dxa" w:w="648"/>
          </w:tcPr>
          <w:p>
            <w:pPr>
              <w:spacing w:after="60" w:before="40"/>
            </w:pPr>
            <w:r>
              <w:rPr>
                <w:b w:val="0"/>
                <w:sz w:val="19"/>
              </w:rPr>
              <w:t>0</w:t>
            </w:r>
          </w:p>
        </w:tc>
        <w:tc>
          <w:tcPr>
            <w:tcW w:type="dxa" w:w="8568"/>
          </w:tcPr>
          <w:p>
            <w:pPr>
              <w:spacing w:after="60" w:before="40"/>
            </w:pPr>
            <w:r>
              <w:rPr>
                <w:b w:val="0"/>
                <w:sz w:val="19"/>
              </w:rPr>
              <w:t>Vocabulary available throughout.</w:t>
            </w:r>
          </w:p>
        </w:tc>
      </w:tr>
      <w:tr>
        <w:tc>
          <w:tcPr>
            <w:tcW w:type="dxa" w:w="720"/>
          </w:tcPr>
          <w:p>
            <w:pPr>
              <w:spacing w:after="60" w:before="40"/>
            </w:pPr>
            <w:r>
              <w:rPr>
                <w:b w:val="0"/>
                <w:sz w:val="19"/>
              </w:rPr>
              <w:t>12</w:t>
            </w:r>
          </w:p>
        </w:tc>
        <w:tc>
          <w:tcPr>
            <w:tcW w:type="dxa" w:w="648"/>
          </w:tcPr>
          <w:p>
            <w:pPr>
              <w:spacing w:after="60" w:before="40"/>
            </w:pPr>
            <w:r>
              <w:rPr>
                <w:b w:val="0"/>
                <w:sz w:val="19"/>
              </w:rPr>
              <w:t>0</w:t>
            </w:r>
          </w:p>
        </w:tc>
        <w:tc>
          <w:tcPr>
            <w:tcW w:type="dxa" w:w="8568"/>
          </w:tcPr>
          <w:p>
            <w:pPr>
              <w:spacing w:after="60" w:before="40"/>
            </w:pPr>
            <w:r>
              <w:rPr>
                <w:b w:val="0"/>
                <w:sz w:val="19"/>
              </w:rPr>
              <w:t>Hidden staff reference.</w:t>
            </w:r>
          </w:p>
        </w:tc>
      </w:tr>
    </w:tbl>
    <w:p>
      <w:pPr>
        <w:pStyle w:val="Heading1"/>
      </w:pPr>
      <w:r>
        <w:rPr>
          <w:b w:val="0"/>
        </w:rPr>
        <w:t>Hinge and reteach</w:t>
      </w:r>
    </w:p>
    <w:p>
      <w:r>
        <w:rPr>
          <w:b w:val="0"/>
        </w:rPr>
        <w:t>A respects privacy in this fictional situation. B and C do not. Privacy protects dignity; it must never mean keeping a worry or harmful act secret. Reteach with the closed-door story and the help-seeking story. In urgent care or danger, staff follow the setting’s agreed procedure, explain what is happening and protect dignity as far as possible.</w:t>
      </w:r>
    </w:p>
    <w:p>
      <w:pPr>
        <w:pStyle w:val="Heading1"/>
      </w:pPr>
      <w:r>
        <w:rPr>
          <w:b w:val="0"/>
        </w:rPr>
        <w:t>Routes and task</w:t>
      </w:r>
    </w:p>
    <w:p>
      <w:r>
        <w:rPr>
          <w:b w:val="0"/>
        </w:rPr>
        <w:t>Supported: match one taught word using two choices, then choose a respectful action for two different privacy stories with reading or scribing support. Independent: identify the four taught words on the diagram and record two privacy decisions with reasons from the stories. Aspire: explain why seeking help does not break a privacy rule, and distinguish necessary care from a secret request; retain the core vocabulary response and two decisions.</w:t>
      </w:r>
    </w:p>
    <w:p>
      <w:r>
        <w:rPr>
          <w:b w:val="0"/>
        </w:rPr>
        <w:t>Use four minutes to match or identify taught words on the supplied diagram. Use five minutes to sort fictional privacy situations and record decisions for two different cards, normally A and B. Use three minutes to consider C or D and name a help route. Preserve the first response, prompts and any change. A learner may pass; record the gap and offer a supported follow-up.</w:t>
      </w:r>
    </w:p>
    <w:p>
      <w:r>
        <w:rPr>
          <w:b w:val="0"/>
          <w:sz w:val="19"/>
        </w:rPr>
        <w:t>Read aloud, point, scribe exact words or use the usual communication aid. Record support without treating speech speed or handwriting as the target.</w:t>
      </w:r>
    </w:p>
    <w:p>
      <w:r>
        <w:br w:type="page"/>
      </w:r>
    </w:p>
    <w:p>
      <w:pPr>
        <w:pStyle w:val="Heading1"/>
      </w:pPr>
      <w:r>
        <w:rPr>
          <w:b w:val="0"/>
        </w:rPr>
        <w:t>Safe teaching and evidence</w:t>
      </w:r>
    </w:p>
    <w:p>
      <w:pPr>
        <w:pStyle w:val="Heading1"/>
      </w:pPr>
      <w:r>
        <w:rPr>
          <w:b w:val="0"/>
        </w:rPr>
        <w:t>Boundaries</w:t>
      </w:r>
    </w:p>
    <w:p>
      <w:r>
        <w:rPr>
          <w:b w:val="0"/>
        </w:rPr>
        <w:t>All teaching prompts concern fictional young people. Never ask about a learner’s own body, family or experiences. Use only the supplied diagrams and stories. No body checking, touching, removing clothes, photographs, real-life comparisons or personal role-play. An adult may read both parts of a fictional exchange; learners can choose or describe a response. Respect a pass, pause or quiet response without asking why. Follow the setting’s safeguarding procedure if a personal concern arises; do not turn a disclosure into lesson evidence. Use the agreed support and care arrangements.</w:t>
      </w:r>
    </w:p>
    <w:p>
      <w:pPr>
        <w:pStyle w:val="Heading1"/>
      </w:pPr>
      <w:r>
        <w:rPr>
          <w:b w:val="0"/>
        </w:rPr>
        <w:t>Assessment and feedback</w:t>
      </w:r>
    </w:p>
    <w:p>
      <w:r>
        <w:rPr>
          <w:b w:val="0"/>
        </w:rPr>
        <w:t>Keep the exact taught word list and the learner’s word-to-diagram response, including any point or selected card. Keep decisions for two distinct fictional privacy stories with the action chosen; record reasons where offered, actual support and what remains unshown. Reading aloud or pointing is valid. No real body, private history or disclosure belongs in the lesson evidence record.</w:t>
      </w:r>
    </w:p>
    <w:p>
      <w:r>
        <w:rPr>
          <w:b w:val="0"/>
          <w:sz w:val="19"/>
        </w:rPr>
        <w:t>Use VF · WS · I · NS+ (Yellow Box) · // self-edit · ? read back · R responded · E evidence in the evidence record. R requires Voice, Audience, a specific NS+ prompt and the learner response in their own colour. E is recorded only when actual work is banked. Record prompts and unfinished work. Blank sheets and adult models are not completed learner evidence.</w:t>
      </w:r>
    </w:p>
    <w:p>
      <w:pPr>
        <w:pStyle w:val="Heading1"/>
      </w:pPr>
      <w:r>
        <w:rPr>
          <w:b w:val="0"/>
        </w:rPr>
        <w:t>Learner voice and thread tags</w:t>
      </w:r>
    </w:p>
    <w:p>
      <w:r>
        <w:rPr>
          <w:b w:val="0"/>
        </w:rPr>
        <w:t>Space: calm seating and clear resources. Voice: an optional response about the fictional case. Audience: an adult listens or reads and responds. Influence: record any change to the task support or next teaching step. A pass is respected and does not require an explanation.</w:t>
      </w:r>
    </w:p>
    <w:p>
      <w:r>
        <w:rPr>
          <w:b w:val="0"/>
          <w:sz w:val="19"/>
        </w:rPr>
        <w:t>S: consider a fictional person’s dignity and choices. M: distinguish respectful actions from pressure or intrusion. So: listen and respond to another person’s boundary. IL: respect a choice to pause or use an aid. MR: respect privacy, personal space and a refusal. No other thread is claimed.</w:t>
      </w:r>
    </w:p>
    <w:p>
      <w:pPr>
        <w:pStyle w:val="Heading1"/>
      </w:pPr>
      <w:r>
        <w:rPr>
          <w:b w:val="0"/>
        </w:rPr>
        <w:t>Offer to the Communication portfolio</w:t>
      </w:r>
    </w:p>
    <w:p>
      <w:r>
        <w:rPr>
          <w:b w:val="0"/>
        </w:rPr>
        <w:t>A response about a fictional privacy decision or help route may be offered to the Communication portfolio. Record the learner’s actual chosen or spoken response and the adult’s reply. Staff decide any mapping.</w:t>
      </w:r>
    </w:p>
    <w:p>
      <w:pPr>
        <w:pStyle w:val="Heading1"/>
      </w:pPr>
      <w:r>
        <w:rPr>
          <w:b w:val="0"/>
        </w:rPr>
        <w:t>Reflection and provenance</w:t>
      </w:r>
    </w:p>
    <w:p>
      <w:r>
        <w:rPr>
          <w:b w:val="0"/>
        </w:rPr>
        <w:t>Next teaching need: __________________________________________</w:t>
        <w:br/>
        <w:t>Learner request and change made: ______________________________</w:t>
      </w:r>
    </w:p>
    <w:p>
      <w:r>
        <w:rPr>
          <w:b w:val="0"/>
          <w:sz w:val="18"/>
        </w:rPr>
        <w:t>Source: owner_orders/BUILD_RSHE_Autumn2_YearA_outline, revision approved-2026-10-26. Tasks are newly authored. The qualification and the accredited unit require staff mapping of actual work. No completion is claimed. Sources: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RSHE-BUILD-A2-W03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body and privacy</dc:title>
  <dc:subject>RSHE-BUILD-A2-W03</dc:subject>
  <dc:creator/>
  <cp:keywords>Year A · RSHE</cp:keywords>
  <dc:description>Year A · RSHE</dc:description>
  <cp:lastModifiedBy/>
  <cp:revision>1</cp:revision>
  <dcterms:created xsi:type="dcterms:W3CDTF">2013-12-23T23:15:00Z</dcterms:created>
  <dcterms:modified xsi:type="dcterms:W3CDTF">2013-12-23T23:15:00Z</dcterms:modified>
  <cp:category/>
</cp:coreProperties>
</file>