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Staff answers and response guide</w:t>
      </w:r>
    </w:p>
    <w:p>
      <w:r>
        <w:rPr>
          <w:b w:val="0"/>
        </w:rPr>
        <w:t>Kind and respectful relationships</w:t>
      </w:r>
    </w:p>
    <w:p>
      <w:r>
        <w:rPr>
          <w:b w:val="0"/>
        </w:rPr>
        <w:t>These are teaching guides. Record the learner’s actual response and support. Every card describes a fictional young person and generic roles. Never invite personal comparisons.</w:t>
      </w:r>
    </w:p>
    <w:p>
      <w:pPr>
        <w:pStyle w:val="Heading1"/>
      </w:pPr>
      <w:r>
        <w:rPr>
          <w:b w:val="0"/>
        </w:rPr>
        <w:t>Card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104"/>
        <w:gridCol w:w="4968"/>
      </w:tblGrid>
      <w:tr>
        <w:trPr>
          <w:tblHeader/>
        </w:trPr>
        <w:tc>
          <w:tcPr>
            <w:tcW w:type="dxa" w:w="864"/>
          </w:tcPr>
          <w:p>
            <w:pPr>
              <w:spacing w:after="60" w:before="40"/>
            </w:pPr>
            <w:r>
              <w:rPr>
                <w:b/>
                <w:sz w:val="19"/>
              </w:rPr>
              <w:t>Card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/>
                <w:sz w:val="19"/>
              </w:rPr>
              <w:t>Judgement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19"/>
              </w:rPr>
              <w:t>Possible action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A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Caring and respectful.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The teen accepts no and can find another pencil.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Unkind.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The young person can ask an adult for help. The peer should stop laughing at them.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Pressuring.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The young person can give space or seek adult help. They do not have to join.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Caring and respectful.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Allow time and listen to the reply without speaking for the person.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Pressuring and unkind.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The young person can seek adult help. Joining should not depend on giving up the snack.</w:t>
            </w:r>
          </w:p>
        </w:tc>
      </w:tr>
      <w:tr>
        <w:tc>
          <w:tcPr>
            <w:tcW w:type="dxa" w:w="86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4104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Unkind.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19"/>
              </w:rPr>
              <w:t>The peer should stop. The young person can seek adult support without arguing back.</w:t>
            </w:r>
          </w:p>
        </w:tc>
      </w:tr>
    </w:tbl>
    <w:p>
      <w:pPr>
        <w:pStyle w:val="Heading1"/>
      </w:pPr>
      <w:r>
        <w:rPr>
          <w:b w:val="0"/>
        </w:rPr>
        <w:t>Model and hinge</w:t>
      </w:r>
    </w:p>
    <w:p>
      <w:r>
        <w:rPr>
          <w:b w:val="0"/>
        </w:rPr>
        <w:t>A peer says no to lending a pen. The other teen keeps asking. This puts pressure on the peer. The peer can move away if it is safe. They can ask a trusted adult for help. They do not have to give in.</w:t>
      </w:r>
    </w:p>
    <w:p>
      <w:r>
        <w:rPr>
          <w:b w:val="0"/>
        </w:rPr>
        <w:t>B offers help without requiring the young person to give in. A refusal does not need repeated defence. Saying stop is an option if safe, not a condition for getting help. The young person is not responsible for changing the peer’s behaviour. Reteach by comparing A, where no is respected, with C, where the pressure continues.</w:t>
      </w:r>
    </w:p>
    <w:p>
      <w:pPr>
        <w:pStyle w:val="Heading1"/>
      </w:pPr>
      <w:r>
        <w:rPr>
          <w:b w:val="0"/>
        </w:rPr>
        <w:t>Individual evidence key</w:t>
      </w:r>
    </w:p>
    <w:p>
      <w:r>
        <w:rPr>
          <w:b w:val="0"/>
        </w:rPr>
        <w:t>Keep the actual sorting choices for at least three cards covering caring, unkind and pressuring behaviour. Keep one boundary or help response with a reason linked to C or E. Record the response mode, prompts and changes. A category label alone does not show the next step. A copied model is not individual evidence.</w:t>
      </w:r>
    </w:p>
    <w:p>
      <w:r>
        <w:br w:type="page"/>
      </w:r>
    </w:p>
    <w:p>
      <w:pPr>
        <w:pStyle w:val="Heading1"/>
      </w:pPr>
      <w:r>
        <w:rPr>
          <w:b w:val="0"/>
        </w:rPr>
        <w:t>Feedback and next teaching</w:t>
      </w:r>
    </w:p>
    <w:p>
      <w:pPr>
        <w:pStyle w:val="Heading1"/>
      </w:pPr>
      <w:r>
        <w:rPr>
          <w:b w:val="0"/>
        </w:rPr>
        <w:t>Practical check</w:t>
      </w:r>
    </w:p>
    <w:p>
      <w:r>
        <w:rPr>
          <w:b w:val="0"/>
        </w:rPr>
        <w:t>A, B and C provide the core contrast. D reinforces accessible caring behaviour. E adds a threat of exclusion; F is an unkind comment. Accept more than one justified category for a harmful act, especially where pressure is also unkind. Judge the explanation and next step, not rigid labels. Do not describe a whole person as bad.</w:t>
      </w:r>
    </w:p>
    <w:p>
      <w:pPr>
        <w:pStyle w:val="Heading1"/>
      </w:pPr>
      <w:r>
        <w:rPr>
          <w:b w:val="0"/>
        </w:rPr>
        <w:t>Common misunderstandings</w:t>
      </w:r>
    </w:p>
    <w:p>
      <w:r>
        <w:rPr>
          <w:b w:val="0"/>
        </w:rPr>
        <w:t>A gift, friendly face or apology does not cancel pressure. A single respectful request can be fine; asking repeatedly to wear someone down is pressure. A young person can seek help without first confronting the person. The young person is not to blame if they freeze, agree under pressure or cannot speak.</w:t>
      </w:r>
    </w:p>
    <w:p>
      <w:pPr>
        <w:pStyle w:val="Heading1"/>
      </w:pPr>
      <w:r>
        <w:rPr>
          <w:b w:val="0"/>
        </w:rPr>
        <w:t>Teaching boundary</w:t>
      </w:r>
    </w:p>
    <w:p>
      <w:r>
        <w:rPr>
          <w:b w:val="0"/>
        </w:rPr>
        <w:t>All teaching prompts concern fictional young people. Never ask about a learner’s own body, family or experiences. No touching, personal role-play or real-life comparisons are required. An adult may narrate both fictional parts while the learner chooses or explains a response. Respect a pass, pause or use of an aid without asking why. If a real concern arises, listen calmly and follow the setting’s safeguarding procedure promptly. Do not promise secrecy or use a disclosure as lesson evidence. Safety is the adult’s responsibility; a child is never to blame for another person’s harmful act.</w:t>
      </w:r>
    </w:p>
    <w:p>
      <w:pPr>
        <w:pStyle w:val="Heading1"/>
      </w:pPr>
      <w:r>
        <w:rPr>
          <w:b w:val="0"/>
        </w:rPr>
        <w:t>Feedback and follow-up</w:t>
      </w:r>
    </w:p>
    <w:p>
      <w:r>
        <w:rPr>
          <w:b w:val="0"/>
        </w:rPr>
        <w:t>Use VF · WS · I · NS+ (Yellow Box) · // self-edit · ? read back · R responded · E evidence in the evidence record. R requires Voice, Audience, a specific NS+ prompt and the learner response in their own colour. E is recorded only when actual work is banked. Record prompts and unfinished work. Blank sheets and adult models are not completed learner evidence.</w:t>
      </w:r>
    </w:p>
    <w:p>
      <w:r>
        <w:rPr>
          <w:b w:val="0"/>
        </w:rPr>
        <w:t>If work is incomplete, name the gap and arrange a supported follow-up. No qualification completion is claimed.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