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Ask for help and keep telling</w:t>
      </w:r>
    </w:p>
    <w:p>
      <w:r>
        <w:rPr>
          <w:b w:val="0"/>
        </w:rPr>
        <w:t>Week beginning 7 December 2026 · one 40-minute lesson</w:t>
      </w:r>
    </w:p>
    <w:p>
      <w:r>
        <w:rPr>
          <w:b w:val="0"/>
        </w:rPr>
        <w:t>Actual date __________________  Staff role ______________</w:t>
      </w:r>
    </w:p>
    <w:p>
      <w:r>
        <w:rPr>
          <w:b w:val="0"/>
        </w:rPr>
        <w:t>Year A · Term theme: Identity &amp; Belonging</w:t>
      </w:r>
    </w:p>
    <w:p>
      <w:r>
        <w:rPr>
          <w:b w:val="0"/>
          <w:sz w:val="19"/>
        </w:rPr>
        <w:t>Thread tags: SMSC S/M/So (C: none); British Values IL/MR (D/RL/T: none).</w:t>
      </w:r>
    </w:p>
    <w:p>
      <w:pPr>
        <w:pStyle w:val="Heading1"/>
      </w:pPr>
      <w:r>
        <w:rPr>
          <w:b w:val="0"/>
        </w:rPr>
        <w:t>Approved objective and source</w:t>
      </w:r>
    </w:p>
    <w:p>
      <w:r>
        <w:rPr>
          <w:b w:val="0"/>
        </w:rPr>
        <w:t>Identify an adult who can help and communicate a concern clearly.</w:t>
      </w:r>
    </w:p>
    <w:p>
      <w:r>
        <w:rPr>
          <w:b w:val="0"/>
          <w:sz w:val="19"/>
        </w:rPr>
        <w:t>Owner-approved standalone RSHE outline, 26 October 2026. The approved outline is the weekly source; no separate weekly workbook row is asserted.</w:t>
      </w:r>
    </w:p>
    <w:p>
      <w:pPr>
        <w:pStyle w:val="Heading1"/>
      </w:pPr>
      <w:r>
        <w:rPr>
          <w:b w:val="0"/>
        </w:rPr>
        <w:t>Purpose and success checks</w:t>
      </w:r>
    </w:p>
    <w:p>
      <w:r>
        <w:rPr>
          <w:b w:val="0"/>
        </w:rPr>
        <w:t>A teen needs help. The first adult is away. Who else could help? What could the teen say?</w:t>
      </w:r>
    </w:p>
    <w:p>
      <w:r>
        <w:rPr>
          <w:b w:val="0"/>
        </w:rPr>
        <w:t>Choose two adults in the story. Show how the teen could ask for help. Choose what to do if help has not come.</w:t>
      </w:r>
    </w:p>
    <w:p>
      <w:r>
        <w:rPr>
          <w:b w:val="0"/>
          <w:sz w:val="19"/>
        </w:rPr>
        <w:t>RSHE-BUILD-A2-W06-E1: A fictional help-route map, a help request and a follow-up choice, with prompts recorded.</w:t>
      </w:r>
    </w:p>
    <w:p>
      <w:pPr>
        <w:pStyle w:val="Heading1"/>
      </w:pPr>
      <w:r>
        <w:rPr>
          <w:b w:val="0"/>
        </w:rPr>
        <w:t>Before pupils arrive</w:t>
      </w:r>
    </w:p>
    <w:p>
      <w:r>
        <w:rPr>
          <w:b w:val="0"/>
        </w:rPr>
        <w:t>Print both evidence pages and all three support pages. Keep the picture whole. Cut the six story cards and helper choices. The fictional setting has a tutor and a duty adult available in a shared learning area. These are role cards, not names. Prepare a separate adult model and the usual communication aids. Review the local response procedure before teaching. No learner lists real contacts or shares a personal worry.</w:t>
      </w:r>
    </w:p>
    <w:p>
      <w:pPr>
        <w:pStyle w:val="Heading1"/>
      </w:pPr>
      <w:r>
        <w:rPr>
          <w:b w:val="0"/>
        </w:rPr>
        <w:t>Calendar and continuity</w:t>
      </w:r>
    </w:p>
    <w:p>
      <w:r>
        <w:rPr>
          <w:b w:val="0"/>
        </w:rPr>
        <w:t>Year A. Autumn 2 Week 6: 7–11 December 2026. One 40-minute RSHE lesson. No day or clock slot is inferred. This lesson is formative. Week 7 is the assessing lesson.</w:t>
      </w:r>
    </w:p>
    <w:p>
      <w:pPr>
        <w:pStyle w:val="Heading1"/>
      </w:pPr>
      <w:r>
        <w:rPr>
          <w:b w:val="0"/>
        </w:rPr>
        <w:t>Where this leads</w:t>
      </w:r>
    </w:p>
    <w:p>
      <w:r>
        <w:rPr>
          <w:b w:val="0"/>
        </w:rPr>
        <w:t>This helps me raise a concern and find support in learning or work.</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720"/>
        <w:gridCol w:w="648"/>
        <w:gridCol w:w="8568"/>
      </w:tblGrid>
      <w:tr>
        <w:trPr>
          <w:tblHeader/>
        </w:trPr>
        <w:tc>
          <w:tcPr>
            <w:tcW w:type="dxa" w:w="720"/>
          </w:tcPr>
          <w:p>
            <w:pPr>
              <w:spacing w:after="60" w:before="40"/>
            </w:pPr>
            <w:r>
              <w:rPr>
                <w:b/>
                <w:sz w:val="19"/>
              </w:rPr>
              <w:t>Slide</w:t>
            </w:r>
          </w:p>
        </w:tc>
        <w:tc>
          <w:tcPr>
            <w:tcW w:type="dxa" w:w="648"/>
          </w:tcPr>
          <w:p>
            <w:pPr>
              <w:spacing w:after="60" w:before="40"/>
            </w:pPr>
            <w:r>
              <w:rPr>
                <w:b/>
                <w:sz w:val="19"/>
              </w:rPr>
              <w:t>Min</w:t>
            </w:r>
          </w:p>
        </w:tc>
        <w:tc>
          <w:tcPr>
            <w:tcW w:type="dxa" w:w="8568"/>
          </w:tcPr>
          <w:p>
            <w:pPr>
              <w:spacing w:after="60" w:before="40"/>
            </w:pPr>
            <w:r>
              <w:rPr>
                <w:b/>
                <w:sz w:val="19"/>
              </w:rPr>
              <w:t>Action</w:t>
            </w:r>
          </w:p>
        </w:tc>
      </w:tr>
      <w:tr>
        <w:tc>
          <w:tcPr>
            <w:tcW w:type="dxa" w:w="720"/>
          </w:tcPr>
          <w:p>
            <w:pPr>
              <w:spacing w:after="60" w:before="40"/>
            </w:pPr>
            <w:r>
              <w:rPr>
                <w:b w:val="0"/>
                <w:sz w:val="19"/>
              </w:rPr>
              <w:t>1</w:t>
            </w:r>
          </w:p>
        </w:tc>
        <w:tc>
          <w:tcPr>
            <w:tcW w:type="dxa" w:w="648"/>
          </w:tcPr>
          <w:p>
            <w:pPr>
              <w:spacing w:after="60" w:before="40"/>
            </w:pPr>
            <w:r>
              <w:rPr>
                <w:b w:val="0"/>
                <w:sz w:val="19"/>
              </w:rPr>
              <w:t>0</w:t>
            </w:r>
          </w:p>
        </w:tc>
        <w:tc>
          <w:tcPr>
            <w:tcW w:type="dxa" w:w="8568"/>
          </w:tcPr>
          <w:p>
            <w:pPr>
              <w:spacing w:after="60" w:before="40"/>
            </w:pPr>
            <w:r>
              <w:rPr>
                <w:b w:val="0"/>
                <w:sz w:val="19"/>
              </w:rPr>
              <w:t>Open the title before the timed sequence.</w:t>
            </w:r>
          </w:p>
        </w:tc>
      </w:tr>
      <w:tr>
        <w:tc>
          <w:tcPr>
            <w:tcW w:type="dxa" w:w="720"/>
          </w:tcPr>
          <w:p>
            <w:pPr>
              <w:spacing w:after="60" w:before="40"/>
            </w:pPr>
            <w:r>
              <w:rPr>
                <w:b w:val="0"/>
                <w:sz w:val="19"/>
              </w:rPr>
              <w:t>2</w:t>
            </w:r>
          </w:p>
        </w:tc>
        <w:tc>
          <w:tcPr>
            <w:tcW w:type="dxa" w:w="648"/>
          </w:tcPr>
          <w:p>
            <w:pPr>
              <w:spacing w:after="60" w:before="40"/>
            </w:pPr>
            <w:r>
              <w:rPr>
                <w:b w:val="0"/>
                <w:sz w:val="19"/>
              </w:rPr>
              <w:t>3</w:t>
            </w:r>
          </w:p>
        </w:tc>
        <w:tc>
          <w:tcPr>
            <w:tcW w:type="dxa" w:w="8568"/>
          </w:tcPr>
          <w:p>
            <w:pPr>
              <w:spacing w:after="60" w:before="40"/>
            </w:pPr>
            <w:r>
              <w:rPr>
                <w:b w:val="0"/>
                <w:sz w:val="19"/>
              </w:rPr>
              <w:t>Calm arrival and support choice.</w:t>
            </w:r>
          </w:p>
        </w:tc>
      </w:tr>
      <w:tr>
        <w:tc>
          <w:tcPr>
            <w:tcW w:type="dxa" w:w="720"/>
          </w:tcPr>
          <w:p>
            <w:pPr>
              <w:spacing w:after="60" w:before="40"/>
            </w:pPr>
            <w:r>
              <w:rPr>
                <w:b w:val="0"/>
                <w:sz w:val="19"/>
              </w:rPr>
              <w:t>3</w:t>
            </w:r>
          </w:p>
        </w:tc>
        <w:tc>
          <w:tcPr>
            <w:tcW w:type="dxa" w:w="648"/>
          </w:tcPr>
          <w:p>
            <w:pPr>
              <w:spacing w:after="60" w:before="40"/>
            </w:pPr>
            <w:r>
              <w:rPr>
                <w:b w:val="0"/>
                <w:sz w:val="19"/>
              </w:rPr>
              <w:t>3</w:t>
            </w:r>
          </w:p>
        </w:tc>
        <w:tc>
          <w:tcPr>
            <w:tcW w:type="dxa" w:w="8568"/>
          </w:tcPr>
          <w:p>
            <w:pPr>
              <w:spacing w:after="60" w:before="40"/>
            </w:pPr>
            <w:r>
              <w:rPr>
                <w:b w:val="0"/>
                <w:sz w:val="19"/>
              </w:rPr>
              <w:t>Read the fictional young person’s story.</w:t>
            </w:r>
          </w:p>
        </w:tc>
      </w:tr>
      <w:tr>
        <w:tc>
          <w:tcPr>
            <w:tcW w:type="dxa" w:w="720"/>
          </w:tcPr>
          <w:p>
            <w:pPr>
              <w:spacing w:after="60" w:before="40"/>
            </w:pPr>
            <w:r>
              <w:rPr>
                <w:b w:val="0"/>
                <w:sz w:val="19"/>
              </w:rPr>
              <w:t>4</w:t>
            </w:r>
          </w:p>
        </w:tc>
        <w:tc>
          <w:tcPr>
            <w:tcW w:type="dxa" w:w="648"/>
          </w:tcPr>
          <w:p>
            <w:pPr>
              <w:spacing w:after="60" w:before="40"/>
            </w:pPr>
            <w:r>
              <w:rPr>
                <w:b w:val="0"/>
                <w:sz w:val="19"/>
              </w:rPr>
              <w:t>0</w:t>
            </w:r>
          </w:p>
        </w:tc>
        <w:tc>
          <w:tcPr>
            <w:tcW w:type="dxa" w:w="8568"/>
          </w:tcPr>
          <w:p>
            <w:pPr>
              <w:spacing w:after="60" w:before="40"/>
            </w:pPr>
            <w:r>
              <w:rPr>
                <w:b w:val="0"/>
                <w:sz w:val="19"/>
              </w:rPr>
              <w:t>Read the objective and success checks.</w:t>
            </w:r>
          </w:p>
        </w:tc>
      </w:tr>
      <w:tr>
        <w:tc>
          <w:tcPr>
            <w:tcW w:type="dxa" w:w="720"/>
          </w:tcPr>
          <w:p>
            <w:pPr>
              <w:spacing w:after="60" w:before="40"/>
            </w:pPr>
            <w:r>
              <w:rPr>
                <w:b w:val="0"/>
                <w:sz w:val="19"/>
              </w:rPr>
              <w:t>5</w:t>
            </w:r>
          </w:p>
        </w:tc>
        <w:tc>
          <w:tcPr>
            <w:tcW w:type="dxa" w:w="648"/>
          </w:tcPr>
          <w:p>
            <w:pPr>
              <w:spacing w:after="60" w:before="40"/>
            </w:pPr>
            <w:r>
              <w:rPr>
                <w:b w:val="0"/>
                <w:sz w:val="19"/>
              </w:rPr>
              <w:t>5</w:t>
            </w:r>
          </w:p>
        </w:tc>
        <w:tc>
          <w:tcPr>
            <w:tcW w:type="dxa" w:w="8568"/>
          </w:tcPr>
          <w:p>
            <w:pPr>
              <w:spacing w:after="60" w:before="40"/>
            </w:pPr>
            <w:r>
              <w:rPr>
                <w:b w:val="0"/>
                <w:sz w:val="19"/>
              </w:rPr>
              <w:t>Model with a separate set.</w:t>
            </w:r>
          </w:p>
        </w:tc>
      </w:tr>
      <w:tr>
        <w:tc>
          <w:tcPr>
            <w:tcW w:type="dxa" w:w="720"/>
          </w:tcPr>
          <w:p>
            <w:pPr>
              <w:spacing w:after="60" w:before="40"/>
            </w:pPr>
            <w:r>
              <w:rPr>
                <w:b w:val="0"/>
                <w:sz w:val="19"/>
              </w:rPr>
              <w:t>6</w:t>
            </w:r>
          </w:p>
        </w:tc>
        <w:tc>
          <w:tcPr>
            <w:tcW w:type="dxa" w:w="648"/>
          </w:tcPr>
          <w:p>
            <w:pPr>
              <w:spacing w:after="60" w:before="40"/>
            </w:pPr>
            <w:r>
              <w:rPr>
                <w:b w:val="0"/>
                <w:sz w:val="19"/>
              </w:rPr>
              <w:t>5</w:t>
            </w:r>
          </w:p>
        </w:tc>
        <w:tc>
          <w:tcPr>
            <w:tcW w:type="dxa" w:w="8568"/>
          </w:tcPr>
          <w:p>
            <w:pPr>
              <w:spacing w:after="60" w:before="40"/>
            </w:pPr>
            <w:r>
              <w:rPr>
                <w:b w:val="0"/>
                <w:sz w:val="19"/>
              </w:rPr>
              <w:t>Hinge check and brief reteach.</w:t>
            </w:r>
          </w:p>
        </w:tc>
      </w:tr>
      <w:tr>
        <w:tc>
          <w:tcPr>
            <w:tcW w:type="dxa" w:w="720"/>
          </w:tcPr>
          <w:p>
            <w:pPr>
              <w:spacing w:after="60" w:before="40"/>
            </w:pPr>
            <w:r>
              <w:rPr>
                <w:b w:val="0"/>
                <w:sz w:val="19"/>
              </w:rPr>
              <w:t>7</w:t>
            </w:r>
          </w:p>
        </w:tc>
        <w:tc>
          <w:tcPr>
            <w:tcW w:type="dxa" w:w="648"/>
          </w:tcPr>
          <w:p>
            <w:pPr>
              <w:spacing w:after="60" w:before="40"/>
            </w:pPr>
            <w:r>
              <w:rPr>
                <w:b w:val="0"/>
                <w:sz w:val="19"/>
              </w:rPr>
              <w:t>12</w:t>
            </w:r>
          </w:p>
        </w:tc>
        <w:tc>
          <w:tcPr>
            <w:tcW w:type="dxa" w:w="8568"/>
          </w:tcPr>
          <w:p>
            <w:pPr>
              <w:spacing w:after="60" w:before="40"/>
            </w:pPr>
            <w:r>
              <w:rPr>
                <w:b w:val="0"/>
                <w:sz w:val="19"/>
              </w:rPr>
              <w:t>Individual task with the chosen route.</w:t>
            </w:r>
          </w:p>
        </w:tc>
      </w:tr>
      <w:tr>
        <w:tc>
          <w:tcPr>
            <w:tcW w:type="dxa" w:w="720"/>
          </w:tcPr>
          <w:p>
            <w:pPr>
              <w:spacing w:after="60" w:before="40"/>
            </w:pPr>
            <w:r>
              <w:rPr>
                <w:b w:val="0"/>
                <w:sz w:val="19"/>
              </w:rPr>
              <w:t>8</w:t>
            </w:r>
          </w:p>
        </w:tc>
        <w:tc>
          <w:tcPr>
            <w:tcW w:type="dxa" w:w="648"/>
          </w:tcPr>
          <w:p>
            <w:pPr>
              <w:spacing w:after="60" w:before="40"/>
            </w:pPr>
            <w:r>
              <w:rPr>
                <w:b w:val="0"/>
                <w:sz w:val="19"/>
              </w:rPr>
              <w:t>6</w:t>
            </w:r>
          </w:p>
        </w:tc>
        <w:tc>
          <w:tcPr>
            <w:tcW w:type="dxa" w:w="8568"/>
          </w:tcPr>
          <w:p>
            <w:pPr>
              <w:spacing w:after="60" w:before="40"/>
            </w:pPr>
            <w:r>
              <w:rPr>
                <w:b w:val="0"/>
                <w:sz w:val="19"/>
              </w:rPr>
              <w:t>Record actual work, response and support.</w:t>
            </w:r>
          </w:p>
        </w:tc>
      </w:tr>
      <w:tr>
        <w:tc>
          <w:tcPr>
            <w:tcW w:type="dxa" w:w="720"/>
          </w:tcPr>
          <w:p>
            <w:pPr>
              <w:spacing w:after="60" w:before="40"/>
            </w:pPr>
            <w:r>
              <w:rPr>
                <w:b w:val="0"/>
                <w:sz w:val="19"/>
              </w:rPr>
              <w:t>9</w:t>
            </w:r>
          </w:p>
        </w:tc>
        <w:tc>
          <w:tcPr>
            <w:tcW w:type="dxa" w:w="648"/>
          </w:tcPr>
          <w:p>
            <w:pPr>
              <w:spacing w:after="60" w:before="40"/>
            </w:pPr>
            <w:r>
              <w:rPr>
                <w:b w:val="0"/>
                <w:sz w:val="19"/>
              </w:rPr>
              <w:t>4</w:t>
            </w:r>
          </w:p>
        </w:tc>
        <w:tc>
          <w:tcPr>
            <w:tcW w:type="dxa" w:w="8568"/>
          </w:tcPr>
          <w:p>
            <w:pPr>
              <w:spacing w:after="60" w:before="40"/>
            </w:pPr>
            <w:r>
              <w:rPr>
                <w:b w:val="0"/>
                <w:sz w:val="19"/>
              </w:rPr>
              <w:t>Tidy and check work references.</w:t>
            </w:r>
          </w:p>
        </w:tc>
      </w:tr>
      <w:tr>
        <w:tc>
          <w:tcPr>
            <w:tcW w:type="dxa" w:w="720"/>
          </w:tcPr>
          <w:p>
            <w:pPr>
              <w:spacing w:after="60" w:before="40"/>
            </w:pPr>
            <w:r>
              <w:rPr>
                <w:b w:val="0"/>
                <w:sz w:val="19"/>
              </w:rPr>
              <w:t>10</w:t>
            </w:r>
          </w:p>
        </w:tc>
        <w:tc>
          <w:tcPr>
            <w:tcW w:type="dxa" w:w="648"/>
          </w:tcPr>
          <w:p>
            <w:pPr>
              <w:spacing w:after="60" w:before="40"/>
            </w:pPr>
            <w:r>
              <w:rPr>
                <w:b w:val="0"/>
                <w:sz w:val="19"/>
              </w:rPr>
              <w:t>2</w:t>
            </w:r>
          </w:p>
        </w:tc>
        <w:tc>
          <w:tcPr>
            <w:tcW w:type="dxa" w:w="8568"/>
          </w:tcPr>
          <w:p>
            <w:pPr>
              <w:spacing w:after="60" w:before="40"/>
            </w:pPr>
            <w:r>
              <w:rPr>
                <w:b w:val="0"/>
                <w:sz w:val="19"/>
              </w:rPr>
              <w:t>Individual exit response and next step.</w:t>
            </w:r>
          </w:p>
        </w:tc>
      </w:tr>
      <w:tr>
        <w:tc>
          <w:tcPr>
            <w:tcW w:type="dxa" w:w="720"/>
          </w:tcPr>
          <w:p>
            <w:pPr>
              <w:spacing w:after="60" w:before="40"/>
            </w:pPr>
            <w:r>
              <w:rPr>
                <w:b w:val="0"/>
                <w:sz w:val="19"/>
              </w:rPr>
              <w:t>11</w:t>
            </w:r>
          </w:p>
        </w:tc>
        <w:tc>
          <w:tcPr>
            <w:tcW w:type="dxa" w:w="648"/>
          </w:tcPr>
          <w:p>
            <w:pPr>
              <w:spacing w:after="60" w:before="40"/>
            </w:pPr>
            <w:r>
              <w:rPr>
                <w:b w:val="0"/>
                <w:sz w:val="19"/>
              </w:rPr>
              <w:t>0</w:t>
            </w:r>
          </w:p>
        </w:tc>
        <w:tc>
          <w:tcPr>
            <w:tcW w:type="dxa" w:w="8568"/>
          </w:tcPr>
          <w:p>
            <w:pPr>
              <w:spacing w:after="60" w:before="40"/>
            </w:pPr>
            <w:r>
              <w:rPr>
                <w:b w:val="0"/>
                <w:sz w:val="19"/>
              </w:rPr>
              <w:t>Vocabulary available throughout.</w:t>
            </w:r>
          </w:p>
        </w:tc>
      </w:tr>
      <w:tr>
        <w:tc>
          <w:tcPr>
            <w:tcW w:type="dxa" w:w="720"/>
          </w:tcPr>
          <w:p>
            <w:pPr>
              <w:spacing w:after="60" w:before="40"/>
            </w:pPr>
            <w:r>
              <w:rPr>
                <w:b w:val="0"/>
                <w:sz w:val="19"/>
              </w:rPr>
              <w:t>12</w:t>
            </w:r>
          </w:p>
        </w:tc>
        <w:tc>
          <w:tcPr>
            <w:tcW w:type="dxa" w:w="648"/>
          </w:tcPr>
          <w:p>
            <w:pPr>
              <w:spacing w:after="60" w:before="40"/>
            </w:pPr>
            <w:r>
              <w:rPr>
                <w:b w:val="0"/>
                <w:sz w:val="19"/>
              </w:rPr>
              <w:t>0</w:t>
            </w:r>
          </w:p>
        </w:tc>
        <w:tc>
          <w:tcPr>
            <w:tcW w:type="dxa" w:w="8568"/>
          </w:tcPr>
          <w:p>
            <w:pPr>
              <w:spacing w:after="60" w:before="40"/>
            </w:pPr>
            <w:r>
              <w:rPr>
                <w:b w:val="0"/>
                <w:sz w:val="19"/>
              </w:rPr>
              <w:t>Hidden staff reference.</w:t>
            </w:r>
          </w:p>
        </w:tc>
      </w:tr>
    </w:tbl>
    <w:p>
      <w:pPr>
        <w:pStyle w:val="Heading1"/>
      </w:pPr>
      <w:r>
        <w:rPr>
          <w:b w:val="0"/>
        </w:rPr>
        <w:t>Hinge and reteach</w:t>
      </w:r>
    </w:p>
    <w:p>
      <w:r>
        <w:rPr>
          <w:b w:val="0"/>
        </w:rPr>
        <w:t>C uses the second adult route. The person can use speech, a note, signs or an aid; polished words and eye contact are not conditions for help. If the first adult is unavailable, does not listen or the worry remains unresolved, tell another trusted adult. Reteach with the two role cards. If danger is immediate, seek urgent help now and follow the emergency response procedure.</w:t>
      </w:r>
    </w:p>
    <w:p>
      <w:pPr>
        <w:pStyle w:val="Heading1"/>
      </w:pPr>
      <w:r>
        <w:rPr>
          <w:b w:val="0"/>
        </w:rPr>
        <w:t>Routes and task</w:t>
      </w:r>
    </w:p>
    <w:p>
      <w:r>
        <w:rPr>
          <w:b w:val="0"/>
        </w:rPr>
        <w:t>Supported: choose two adult-role cards from the fictional setting, select a request for A, and choose another adult for B or C. Read aloud and record each prompt. Independent: build the route, compose a clear request about A, and explain the next step when the first adult is away or has not helped. Aspire: retain the route, request and follow-up choice. Adapt the request to an aid and explain the difference between an everyday follow-up and urgent help for F.</w:t>
      </w:r>
    </w:p>
    <w:p>
      <w:r>
        <w:rPr>
          <w:b w:val="0"/>
        </w:rPr>
        <w:t>Use four minutes to make a help route for A: choose a tutor and a duty adult as the second route. Use five minutes to form or select a request that identifies the hidden work and asks for help. Use three minutes to draw B or C and select the next adult. D offers a non-speaking route. All responses remain about the fictional young person.</w:t>
      </w:r>
    </w:p>
    <w:p>
      <w:r>
        <w:rPr>
          <w:b w:val="0"/>
          <w:sz w:val="19"/>
        </w:rPr>
        <w:t>Read aloud, point, scribe exact words or use the usual communication aid. Record support without treating speech speed or handwriting as the target.</w:t>
      </w:r>
    </w:p>
    <w:p>
      <w:r>
        <w:br w:type="page"/>
      </w:r>
    </w:p>
    <w:p>
      <w:pPr>
        <w:pStyle w:val="Heading1"/>
      </w:pPr>
      <w:r>
        <w:rPr>
          <w:b w:val="0"/>
        </w:rPr>
        <w:t>Safe teaching and evidence</w:t>
      </w:r>
    </w:p>
    <w:p>
      <w:pPr>
        <w:pStyle w:val="Heading1"/>
      </w:pPr>
      <w:r>
        <w:rPr>
          <w:b w:val="0"/>
        </w:rPr>
        <w:t>Boundaries</w:t>
      </w:r>
    </w:p>
    <w:p>
      <w:r>
        <w:rPr>
          <w:b w:val="0"/>
        </w:rPr>
        <w:t>All teaching prompts concern fictional young people. Never ask about a learner’s own body, family or experiences. No touching, personal role-play or real-life comparisons are required. An adult may narrate both fictional parts while the learner chooses or explains a response. Respect a pass, pause or use of an aid without asking why. If a real concern arises, listen calmly and follow the setting’s safeguarding procedure promptly. Do not promise secrecy or use a disclosure as lesson evidence. Safety is the adult’s responsibility; a child is never to blame for another person’s harmful act.</w:t>
      </w:r>
    </w:p>
    <w:p>
      <w:pPr>
        <w:pStyle w:val="Heading1"/>
      </w:pPr>
      <w:r>
        <w:rPr>
          <w:b w:val="0"/>
        </w:rPr>
        <w:t>Assessment and feedback</w:t>
      </w:r>
    </w:p>
    <w:p>
      <w:r>
        <w:rPr>
          <w:b w:val="0"/>
        </w:rPr>
        <w:t>Keep a map or ordered record showing two generic helping-adult roles in the fictional setting. Keep the request about A, including the worry and help sought, in the learner’s chosen mode. Record a follow-up choice for B or C and all prompts. Record what is still missing. A list of adults without a request or follow-up does not meet the full evidence line.</w:t>
      </w:r>
    </w:p>
    <w:p>
      <w:r>
        <w:rPr>
          <w:b w:val="0"/>
          <w:sz w:val="19"/>
        </w:rPr>
        <w:t>Use VF · WS · I · NS+ (Yellow Box) · // self-edit · ? read back · R responded · E evidence in the evidence record. R requires Voice, Audience, a specific NS+ prompt and the learner response in their own colour. E is recorded only when actual work is banked. Record prompts and unfinished work. Blank sheets and adult models are not completed learner evidence.</w:t>
      </w:r>
    </w:p>
    <w:p>
      <w:pPr>
        <w:pStyle w:val="Heading1"/>
      </w:pPr>
      <w:r>
        <w:rPr>
          <w:b w:val="0"/>
        </w:rPr>
        <w:t>Learner voice and thread tags</w:t>
      </w:r>
    </w:p>
    <w:p>
      <w:r>
        <w:rPr>
          <w:b w:val="0"/>
        </w:rPr>
        <w:t>Space: calm seating and clear resources. Voice: an optional response about the fictional case. Audience: an adult listens or reads and responds. Influence: record any change to the task support or next teaching step. A pass is respected and does not require an explanation.</w:t>
      </w:r>
    </w:p>
    <w:p>
      <w:r>
        <w:rPr>
          <w:b w:val="0"/>
          <w:sz w:val="19"/>
        </w:rPr>
        <w:t>S: value a person’s dignity and voice. M: recognise an adult’s responsibility to act on a concern. So: communicate a worry and use support. IL: allow a pass, an aid or another safe route. MR: listen without blame and respect communication needs. No other thread is claimed.</w:t>
      </w:r>
    </w:p>
    <w:p>
      <w:pPr>
        <w:pStyle w:val="Heading1"/>
      </w:pPr>
      <w:r>
        <w:rPr>
          <w:b w:val="0"/>
        </w:rPr>
        <w:t>Offer to the Communication portfolio</w:t>
      </w:r>
    </w:p>
    <w:p>
      <w:r>
        <w:rPr>
          <w:b w:val="0"/>
        </w:rPr>
        <w:t>A fictional help request and adult reply may be offered to the Communication portfolio. Keep the learner’s actual words, choice or aid response. Staff confirm any mapping.</w:t>
      </w:r>
    </w:p>
    <w:p>
      <w:pPr>
        <w:pStyle w:val="Heading1"/>
      </w:pPr>
      <w:r>
        <w:rPr>
          <w:b w:val="0"/>
        </w:rPr>
        <w:t>Reflection and provenance</w:t>
      </w:r>
    </w:p>
    <w:p>
      <w:r>
        <w:rPr>
          <w:b w:val="0"/>
        </w:rPr>
        <w:t>Next teaching need: __________________________________________</w:t>
        <w:br/>
        <w:t>Learner request and change made: ______________________________</w:t>
      </w:r>
    </w:p>
    <w:p>
      <w:r>
        <w:rPr>
          <w:b w:val="0"/>
          <w:sz w:val="18"/>
        </w:rPr>
        <w:t>Source: owner_orders/BUILD_RSHE_Autumn2_YearA_outline, revision approved-2026-10-26. Tasks are newly authored. The qualification and the accredited unit require staff mapping of actual work. No completion is claimed. Sources: FACTS_LEDGER.md.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RSHE-BUILD-A2-W06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Lesson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 for help and keep telling</dc:title>
  <dc:subject>RSHE-BUILD-A2-W06 · Year A</dc:subject>
  <dc:creator>Lesson resource</dc:creator>
  <cp:keywords>Year A · RSHE</cp:keywords>
  <dc:description/>
  <cp:lastModifiedBy>Lesson resource</cp:lastModifiedBy>
  <cp:revision>1</cp:revision>
  <dcterms:created xsi:type="dcterms:W3CDTF">2013-12-23T23:15:00Z</dcterms:created>
  <dcterms:modified xsi:type="dcterms:W3CDTF">2013-12-23T23:15:00Z</dcterms:modified>
  <cp:category/>
</cp:coreProperties>
</file>