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Ask for help and keep telling</w:t>
      </w:r>
    </w:p>
    <w:p>
      <w:r>
        <w:rPr>
          <w:b w:val="0"/>
        </w:rPr>
        <w:t>These are teaching guides. Record the learner’s actual response and support. Every card describes a fictional young person and generic roles. Never invite personal comparisons.</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19"/>
              </w:rPr>
              <w:t>Card</w:t>
            </w:r>
          </w:p>
        </w:tc>
        <w:tc>
          <w:tcPr>
            <w:tcW w:type="dxa" w:w="4104"/>
          </w:tcPr>
          <w:p>
            <w:pPr>
              <w:spacing w:after="60" w:before="40"/>
            </w:pPr>
            <w:r>
              <w:rPr>
                <w:b/>
                <w:sz w:val="19"/>
              </w:rPr>
              <w:t>Judgement</w:t>
            </w:r>
          </w:p>
        </w:tc>
        <w:tc>
          <w:tcPr>
            <w:tcW w:type="dxa" w:w="4968"/>
          </w:tcPr>
          <w:p>
            <w:pPr>
              <w:spacing w:after="60" w:before="40"/>
            </w:pPr>
            <w:r>
              <w:rPr>
                <w:b/>
                <w:sz w:val="19"/>
              </w:rPr>
              <w:t>Possible action</w:t>
            </w:r>
          </w:p>
        </w:tc>
      </w:tr>
      <w:tr>
        <w:tc>
          <w:tcPr>
            <w:tcW w:type="dxa" w:w="864"/>
          </w:tcPr>
          <w:p>
            <w:pPr>
              <w:spacing w:after="60" w:before="40"/>
            </w:pPr>
            <w:r>
              <w:rPr>
                <w:b w:val="0"/>
                <w:sz w:val="19"/>
              </w:rPr>
              <w:t>A</w:t>
            </w:r>
          </w:p>
        </w:tc>
        <w:tc>
          <w:tcPr>
            <w:tcW w:type="dxa" w:w="4104"/>
          </w:tcPr>
          <w:p>
            <w:pPr>
              <w:spacing w:after="60" w:before="40"/>
            </w:pPr>
            <w:r>
              <w:rPr>
                <w:b w:val="0"/>
                <w:sz w:val="19"/>
              </w:rPr>
              <w:t>Tell a trusted adult about the hidden work.</w:t>
            </w:r>
          </w:p>
        </w:tc>
        <w:tc>
          <w:tcPr>
            <w:tcW w:type="dxa" w:w="4968"/>
          </w:tcPr>
          <w:p>
            <w:pPr>
              <w:spacing w:after="60" w:before="40"/>
            </w:pPr>
            <w:r>
              <w:rPr>
                <w:b w:val="0"/>
                <w:sz w:val="19"/>
              </w:rPr>
              <w:t>Use the tutor role card. The request should describe the worry and ask for help.</w:t>
            </w:r>
          </w:p>
        </w:tc>
      </w:tr>
      <w:tr>
        <w:tc>
          <w:tcPr>
            <w:tcW w:type="dxa" w:w="864"/>
          </w:tcPr>
          <w:p>
            <w:pPr>
              <w:spacing w:after="60" w:before="40"/>
            </w:pPr>
            <w:r>
              <w:rPr>
                <w:b w:val="0"/>
                <w:sz w:val="19"/>
              </w:rPr>
              <w:t>B</w:t>
            </w:r>
          </w:p>
        </w:tc>
        <w:tc>
          <w:tcPr>
            <w:tcW w:type="dxa" w:w="4104"/>
          </w:tcPr>
          <w:p>
            <w:pPr>
              <w:spacing w:after="60" w:before="40"/>
            </w:pPr>
            <w:r>
              <w:rPr>
                <w:b w:val="0"/>
                <w:sz w:val="19"/>
              </w:rPr>
              <w:t>Choose the duty adult.</w:t>
            </w:r>
          </w:p>
        </w:tc>
        <w:tc>
          <w:tcPr>
            <w:tcW w:type="dxa" w:w="4968"/>
          </w:tcPr>
          <w:p>
            <w:pPr>
              <w:spacing w:after="60" w:before="40"/>
            </w:pPr>
            <w:r>
              <w:rPr>
                <w:b w:val="0"/>
                <w:sz w:val="19"/>
              </w:rPr>
              <w:t>Use the next adult in the fictional help route. Do not wait without support.</w:t>
            </w:r>
          </w:p>
        </w:tc>
      </w:tr>
      <w:tr>
        <w:tc>
          <w:tcPr>
            <w:tcW w:type="dxa" w:w="864"/>
          </w:tcPr>
          <w:p>
            <w:pPr>
              <w:spacing w:after="60" w:before="40"/>
            </w:pPr>
            <w:r>
              <w:rPr>
                <w:b w:val="0"/>
                <w:sz w:val="19"/>
              </w:rPr>
              <w:t>C</w:t>
            </w:r>
          </w:p>
        </w:tc>
        <w:tc>
          <w:tcPr>
            <w:tcW w:type="dxa" w:w="4104"/>
          </w:tcPr>
          <w:p>
            <w:pPr>
              <w:spacing w:after="60" w:before="40"/>
            </w:pPr>
            <w:r>
              <w:rPr>
                <w:b w:val="0"/>
                <w:sz w:val="19"/>
              </w:rPr>
              <w:t>Tell another trusted adult.</w:t>
            </w:r>
          </w:p>
        </w:tc>
        <w:tc>
          <w:tcPr>
            <w:tcW w:type="dxa" w:w="4968"/>
          </w:tcPr>
          <w:p>
            <w:pPr>
              <w:spacing w:after="60" w:before="40"/>
            </w:pPr>
            <w:r>
              <w:rPr>
                <w:b w:val="0"/>
                <w:sz w:val="19"/>
              </w:rPr>
              <w:t>Explain that the worry is still happening and that help is still needed. Adults must act.</w:t>
            </w:r>
          </w:p>
        </w:tc>
      </w:tr>
      <w:tr>
        <w:tc>
          <w:tcPr>
            <w:tcW w:type="dxa" w:w="864"/>
          </w:tcPr>
          <w:p>
            <w:pPr>
              <w:spacing w:after="60" w:before="40"/>
            </w:pPr>
            <w:r>
              <w:rPr>
                <w:b w:val="0"/>
                <w:sz w:val="19"/>
              </w:rPr>
              <w:t>D</w:t>
            </w:r>
          </w:p>
        </w:tc>
        <w:tc>
          <w:tcPr>
            <w:tcW w:type="dxa" w:w="4104"/>
          </w:tcPr>
          <w:p>
            <w:pPr>
              <w:spacing w:after="60" w:before="40"/>
            </w:pPr>
            <w:r>
              <w:rPr>
                <w:b w:val="0"/>
                <w:sz w:val="19"/>
              </w:rPr>
              <w:t>Use a note, sign or aid.</w:t>
            </w:r>
          </w:p>
        </w:tc>
        <w:tc>
          <w:tcPr>
            <w:tcW w:type="dxa" w:w="4968"/>
          </w:tcPr>
          <w:p>
            <w:pPr>
              <w:spacing w:after="60" w:before="40"/>
            </w:pPr>
            <w:r>
              <w:rPr>
                <w:b w:val="0"/>
                <w:sz w:val="19"/>
              </w:rPr>
              <w:t>Accept a clear point, a drawing or a supported message. Speech is not required.</w:t>
            </w:r>
          </w:p>
        </w:tc>
      </w:tr>
      <w:tr>
        <w:tc>
          <w:tcPr>
            <w:tcW w:type="dxa" w:w="864"/>
          </w:tcPr>
          <w:p>
            <w:pPr>
              <w:spacing w:after="60" w:before="40"/>
            </w:pPr>
            <w:r>
              <w:rPr>
                <w:b w:val="0"/>
                <w:sz w:val="19"/>
              </w:rPr>
              <w:t>E</w:t>
            </w:r>
          </w:p>
        </w:tc>
        <w:tc>
          <w:tcPr>
            <w:tcW w:type="dxa" w:w="4104"/>
          </w:tcPr>
          <w:p>
            <w:pPr>
              <w:spacing w:after="60" w:before="40"/>
            </w:pPr>
            <w:r>
              <w:rPr>
                <w:b w:val="0"/>
                <w:sz w:val="19"/>
              </w:rPr>
              <w:t>Tell a trusted adult.</w:t>
            </w:r>
          </w:p>
        </w:tc>
        <w:tc>
          <w:tcPr>
            <w:tcW w:type="dxa" w:w="4968"/>
          </w:tcPr>
          <w:p>
            <w:pPr>
              <w:spacing w:after="60" w:before="40"/>
            </w:pPr>
            <w:r>
              <w:rPr>
                <w:b w:val="0"/>
                <w:sz w:val="19"/>
              </w:rPr>
              <w:t>A worry can be shared to get help. The young person is not to blame for seeking support.</w:t>
            </w:r>
          </w:p>
        </w:tc>
      </w:tr>
      <w:tr>
        <w:tc>
          <w:tcPr>
            <w:tcW w:type="dxa" w:w="864"/>
          </w:tcPr>
          <w:p>
            <w:pPr>
              <w:spacing w:after="60" w:before="40"/>
            </w:pPr>
            <w:r>
              <w:rPr>
                <w:b w:val="0"/>
                <w:sz w:val="19"/>
              </w:rPr>
              <w:t>F</w:t>
            </w:r>
          </w:p>
        </w:tc>
        <w:tc>
          <w:tcPr>
            <w:tcW w:type="dxa" w:w="4104"/>
          </w:tcPr>
          <w:p>
            <w:pPr>
              <w:spacing w:after="60" w:before="40"/>
            </w:pPr>
            <w:r>
              <w:rPr>
                <w:b w:val="0"/>
                <w:sz w:val="19"/>
              </w:rPr>
              <w:t>Get urgent help now.</w:t>
            </w:r>
          </w:p>
        </w:tc>
        <w:tc>
          <w:tcPr>
            <w:tcW w:type="dxa" w:w="4968"/>
          </w:tcPr>
          <w:p>
            <w:pPr>
              <w:spacing w:after="60" w:before="40"/>
            </w:pPr>
            <w:r>
              <w:rPr>
                <w:b w:val="0"/>
                <w:sz w:val="19"/>
              </w:rPr>
              <w:t>Seek a safe adult immediately and follow the emergency response route. Do not wait for a routine slot.</w:t>
            </w:r>
          </w:p>
        </w:tc>
      </w:tr>
    </w:tbl>
    <w:p>
      <w:pPr>
        <w:pStyle w:val="Heading1"/>
      </w:pPr>
      <w:r>
        <w:rPr>
          <w:b w:val="0"/>
        </w:rPr>
        <w:t>Model and hinge</w:t>
      </w:r>
    </w:p>
    <w:p>
      <w:r>
        <w:rPr>
          <w:b w:val="0"/>
        </w:rPr>
        <w:t>A peer keeps hiding a young person’s work. The young person could tell the tutor. The request could say: the teen needs help. A peer keeps hiding the teen’s work. Could the adult help stop this? If help has not come, tell another trusted adult.</w:t>
      </w:r>
    </w:p>
    <w:p>
      <w:r>
        <w:rPr>
          <w:b w:val="0"/>
        </w:rPr>
        <w:t>C uses the second adult route. The person can use speech, a note, signs or an aid; polished words and eye contact are not conditions for help. If the first adult is unavailable, does not listen or the worry remains unresolved, tell another trusted adult. Reteach with the two role cards. If danger is immediate, seek urgent help now and follow the emergency response procedure.</w:t>
      </w:r>
    </w:p>
    <w:p>
      <w:pPr>
        <w:pStyle w:val="Heading1"/>
      </w:pPr>
      <w:r>
        <w:rPr>
          <w:b w:val="0"/>
        </w:rPr>
        <w:t>Individual evidence key</w:t>
      </w:r>
    </w:p>
    <w:p>
      <w:r>
        <w:rPr>
          <w:b w:val="0"/>
        </w:rPr>
        <w:t>Keep a map or ordered record showing two generic helping-adult roles in the fictional setting. Keep the request about A, including the worry and help sought, in the learner’s chosen mode. Record a follow-up choice for B or C and all prompts. Record what is still missing. A list of adults without a request or follow-up does not meet the full evidence line.</w:t>
      </w:r>
    </w:p>
    <w:p>
      <w:r>
        <w:br w:type="page"/>
      </w:r>
    </w:p>
    <w:p>
      <w:pPr>
        <w:pStyle w:val="Heading1"/>
      </w:pPr>
      <w:r>
        <w:rPr>
          <w:b w:val="0"/>
        </w:rPr>
        <w:t>Feedback and next teaching</w:t>
      </w:r>
    </w:p>
    <w:p>
      <w:pPr>
        <w:pStyle w:val="Heading1"/>
      </w:pPr>
      <w:r>
        <w:rPr>
          <w:b w:val="0"/>
        </w:rPr>
        <w:t>Practical check</w:t>
      </w:r>
    </w:p>
    <w:p>
      <w:r>
        <w:rPr>
          <w:b w:val="0"/>
        </w:rPr>
        <w:t>The core case is A. B tests an unavailable adult; C tests help that has not yet dealt with the worry. D permits an aid or note. E rejects secrecy about a worry. F needs urgent help, not waiting for the usual lesson or appointment. Use role names only. The lesson is not a list of real contacts and does not ask for home details.</w:t>
      </w:r>
    </w:p>
    <w:p>
      <w:pPr>
        <w:pStyle w:val="Heading1"/>
      </w:pPr>
      <w:r>
        <w:rPr>
          <w:b w:val="0"/>
        </w:rPr>
        <w:t>Common misunderstandings</w:t>
      </w:r>
    </w:p>
    <w:p>
      <w:r>
        <w:rPr>
          <w:b w:val="0"/>
        </w:rPr>
        <w:t>Being older or holding a role does not make every adult safe. The fictional helpers are adults the young person trusts to listen and take action. If an adult is part of the worry, another safe adult can be approached. Keep telling does not mean repeatedly approaching an unsafe adult. A young person does not need proof or perfect words before asking for help.</w:t>
      </w:r>
    </w:p>
    <w:p>
      <w:pPr>
        <w:pStyle w:val="Heading1"/>
      </w:pPr>
      <w:r>
        <w:rPr>
          <w:b w:val="0"/>
        </w:rPr>
        <w:t>Teaching boundary</w:t>
      </w:r>
    </w:p>
    <w:p>
      <w:r>
        <w:rPr>
          <w:b w:val="0"/>
        </w:rPr>
        <w:t>All teaching prompts concern fictional young people. Never ask about a learner’s own body, family or experiences. No touching, personal role-play or real-life comparisons are required. An adult may narrate both fictional parts while the learner chooses or explains a response. Respect a pass, pause or use of an aid without asking why. If a real concern arises, listen calmly and follow the setting’s safeguarding procedure promptly. Do not promise secrecy or use a disclosure as lesson evidence. Safety is the adult’s responsibility; a child is never to blame for another person’s harmful act.</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 response in their own colour. E is recorded only when actual work is banked. Record prompts and unfinished work. Blank sheets and adult models are not completed learner evidence.</w:t>
      </w:r>
    </w:p>
    <w:p>
      <w:r>
        <w:rPr>
          <w:b w:val="0"/>
        </w:rPr>
        <w:t>If work is incomplete, name the gap and arrange a supported follow-up. No qualification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RSHE-BUILD-A2-W06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for help and keep telling</dc:title>
  <dc:subject>RSHE-BUILD-A2-W06 · Year A</dc:subject>
  <dc:creator>Lesson resource</dc:creator>
  <cp:keywords>Year A · RSHE</cp:keywords>
  <dc:description/>
  <cp:lastModifiedBy>Lesson resource</cp:lastModifiedBy>
  <cp:revision>1</cp:revision>
  <dcterms:created xsi:type="dcterms:W3CDTF">2013-12-23T23:15:00Z</dcterms:created>
  <dcterms:modified xsi:type="dcterms:W3CDTF">2013-12-23T23:15:00Z</dcterms:modified>
  <cp:category/>
</cp:coreProperties>
</file>