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Teacher and cover planner</w:t>
      </w:r>
    </w:p>
    <w:p>
      <w:r>
        <w:rPr>
          <w:b/>
          <w:sz w:val="24"/>
        </w:rPr>
        <w:t>Care, boundaries and help: assessing lesson</w:t>
      </w:r>
    </w:p>
    <w:p>
      <w:r>
        <w:t>Week beginning 14 December 2026 · one 40-minute lesson</w:t>
      </w:r>
    </w:p>
    <w:p>
      <w:r>
        <w:t>Actual date __________________  Staff role ______________</w:t>
      </w:r>
    </w:p>
    <w:p>
      <w:r>
        <w:t>Year A · Term theme: Identity &amp; Belonging</w:t>
      </w:r>
    </w:p>
    <w:p>
      <w:r>
        <w:t>Thread tags: SMSC S/M/So (C: none); British Values IL/MR (D/RL/T: none).</w:t>
      </w:r>
    </w:p>
    <w:p>
      <w:pPr>
        <w:pStyle w:val="Heading1"/>
      </w:pPr>
      <w:r>
        <w:t>Approved objective and source</w:t>
      </w:r>
    </w:p>
    <w:p>
      <w:r>
        <w:t>Recognise care, apply a privacy or boundary rule and choose how to seek help.</w:t>
      </w:r>
    </w:p>
    <w:p>
      <w:r>
        <w:t>Source: owner-approved weekly outline; revision approved-2026-10-26.</w:t>
      </w:r>
    </w:p>
    <w:p>
      <w:pPr>
        <w:pStyle w:val="Heading1"/>
      </w:pPr>
      <w:r>
        <w:t>Assessment focus</w:t>
      </w:r>
    </w:p>
    <w:p>
      <w:r>
        <w:t>Review familiar care, body words, privacy, permission and help routes. How can a young person show care and get help?</w:t>
      </w:r>
    </w:p>
    <w:p>
      <w:r>
        <w:t>Identify care with a reason; match taught words; apply privacy and permission rules; show a help request and follow-up; respond to feedback.</w:t>
      </w:r>
    </w:p>
    <w:p>
      <w:r>
        <w:t>RSHE-BUILD-A2-W07-E1: An individual assessment record containing actual responses, support used and gaps, with initial responses and later feedback responses kept separate.</w:t>
      </w:r>
    </w:p>
    <w:p>
      <w:pPr>
        <w:pStyle w:val="Heading1"/>
      </w:pPr>
      <w:r>
        <w:t>Before pupils arrive</w:t>
      </w:r>
    </w:p>
    <w:p>
      <w:r>
        <w:t>Print the three Evidence Sheet and three Support Cards pages. Cut only word, meaning and role cards if useful. Gather earlier work and the usual aid. Keep answer key, word mat and earlier answers closed until review. Confirm taught body terms before the lesson and log any substitution. Plan private response turns. Use fictional third-person prompts throughout.</w:t>
      </w:r>
    </w:p>
    <w:p>
      <w:pPr>
        <w:pStyle w:val="Heading1"/>
      </w:pPr>
      <w:r>
        <w:t>Calendar and continuity</w:t>
      </w:r>
    </w:p>
    <w:p>
      <w:r>
        <w:t>Year A. Autumn 2 Week 7: 14–18 December 2026. One 40-minute assessing lesson. No day or clock slot is inferred. Weeks 1–6 were formative. This lesson gathers and reviews their evidence; it introduces no new content.</w:t>
      </w:r>
    </w:p>
    <w:p>
      <w:pPr>
        <w:pStyle w:val="Heading1"/>
      </w:pPr>
      <w:r>
        <w:t>Where this leads</w:t>
      </w:r>
    </w:p>
    <w:p>
      <w:r>
        <w:t>This helps me show how I can respect others, protect my boundaries and ask for support.</w:t>
      </w:r>
    </w:p>
    <w:p>
      <w:r>
        <w:br w:type="page"/>
      </w:r>
    </w:p>
    <w:p>
      <w:pPr>
        <w:pStyle w:val="Heading1"/>
      </w:pPr>
      <w:r>
        <w:t>Forty minute sequence</w:t>
      </w:r>
    </w:p>
    <w:tbl>
      <w:tblPr>
        <w:tblW w:type="auto" w:w="0"/>
        <w:jc w:val="center"/>
        <w:tblLayout w:type="fixed"/>
        <w:tblLook w:firstColumn="1" w:firstRow="1" w:lastColumn="0" w:lastRow="0" w:noHBand="0" w:noVBand="1" w:val="04A0"/>
      </w:tblPr>
      <w:tblGrid>
        <w:gridCol w:w="691"/>
        <w:gridCol w:w="648"/>
        <w:gridCol w:w="8698"/>
      </w:tblGrid>
      <w:tr>
        <w:trPr>
          <w:cantSplit/>
          <w:tblHeader/>
        </w:trPr>
        <w:tc>
          <w:tcPr>
            <w:tcW w:type="dxa" w:w="691"/>
            <w:vAlign w:val="center"/>
            <w:tcBorders>
              <w:top w:val="single" w:sz="5" w:color="D9D9D9"/>
              <w:left w:val="single" w:sz="5" w:color="D9D9D9"/>
              <w:bottom w:val="single" w:sz="5" w:color="D9D9D9"/>
              <w:right w:val="single" w:sz="5" w:color="D9D9D9"/>
            </w:tcBorders>
            <w:shd w:fill="E8F0EF"/>
          </w:tcPr>
          <w:p>
            <w:pPr>
              <w:spacing w:after="100" w:before="100"/>
            </w:pPr>
            <w:r>
              <w:rPr>
                <w:rFonts w:ascii="Arial" w:hAnsi="Arial"/>
                <w:b/>
                <w:sz w:val="19"/>
              </w:rPr>
              <w:t>Slide</w:t>
            </w:r>
          </w:p>
        </w:tc>
        <w:tc>
          <w:tcPr>
            <w:tcW w:type="dxa" w:w="648"/>
            <w:vAlign w:val="center"/>
            <w:tcBorders>
              <w:top w:val="single" w:sz="5" w:color="D9D9D9"/>
              <w:left w:val="single" w:sz="5" w:color="D9D9D9"/>
              <w:bottom w:val="single" w:sz="5" w:color="D9D9D9"/>
              <w:right w:val="single" w:sz="5" w:color="D9D9D9"/>
            </w:tcBorders>
            <w:shd w:fill="E8F0EF"/>
          </w:tcPr>
          <w:p>
            <w:pPr>
              <w:spacing w:after="100" w:before="100"/>
            </w:pPr>
            <w:r>
              <w:rPr>
                <w:rFonts w:ascii="Arial" w:hAnsi="Arial"/>
                <w:b/>
                <w:sz w:val="19"/>
              </w:rPr>
              <w:t>Min</w:t>
            </w:r>
          </w:p>
        </w:tc>
        <w:tc>
          <w:tcPr>
            <w:tcW w:type="dxa" w:w="8698"/>
            <w:vAlign w:val="center"/>
            <w:tcBorders>
              <w:top w:val="single" w:sz="5" w:color="D9D9D9"/>
              <w:left w:val="single" w:sz="5" w:color="D9D9D9"/>
              <w:bottom w:val="single" w:sz="5" w:color="D9D9D9"/>
              <w:right w:val="single" w:sz="5" w:color="D9D9D9"/>
            </w:tcBorders>
            <w:shd w:fill="E8F0EF"/>
          </w:tcPr>
          <w:p>
            <w:pPr>
              <w:spacing w:after="100" w:before="100"/>
            </w:pPr>
            <w:r>
              <w:rPr>
                <w:rFonts w:ascii="Arial" w:hAnsi="Arial"/>
                <w:b/>
                <w:sz w:val="19"/>
              </w:rPr>
              <w:t>Action</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1</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0</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Read the title and careers line; do not invite a personal example.</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2</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3</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Offer a pause, pass or aid. Mark unobserved work.</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3</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4</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Gather actual work by code and date. Keep answers closed until review.</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4</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3</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Explain first responses, access help, content support and later feedback.</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5</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5</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Page 1, story A: record caring act and reason. Keep the key private.</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6</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4</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Page 1: match only taught words. Log terms and help. Key: A–4, B–2, C–3, D–1.</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7</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4</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Page 2: take stories B and C separately. Record each action and reason.</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8</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7</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Page 3: show request for D, then follow-up for E. Record chosen adult, worry, request and help.</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9</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4</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Review earlier work by code and date. Complete the half-term audit; retain gaps.</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10</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6</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Give one feedback point. Page 3 of Evidence Sheet: separate reply, next step, help and review date.</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11</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0</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Use the familiar word mat after initial checks; log any earlier content cue.</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12</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0</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Hidden. Read protocol, substitution note and safety boundaries before teaching.</w:t>
            </w:r>
          </w:p>
        </w:tc>
      </w:tr>
    </w:tbl>
    <w:p>
      <w:pPr>
        <w:pStyle w:val="Heading1"/>
      </w:pPr>
      <w:r>
        <w:t>Initial record and later feedback</w:t>
      </w:r>
    </w:p>
    <w:p>
      <w:r>
        <w:t>Do not model target answers, teach a missing term or rehearse a help request before the first record. Reading and exact scribing are access support. Answer cues and reduced options are content support. Record each. After initial checks, give one specific feedback point and retain the later response separately.</w:t>
      </w:r>
    </w:p>
    <w:p>
      <w:pPr>
        <w:pStyle w:val="Heading1"/>
      </w:pPr>
      <w:r>
        <w:t>Routes and task</w:t>
      </w:r>
    </w:p>
    <w:p>
      <w:r>
        <w:t>Supported: Read the same story and task words. Allow pointing, an aid or exact scribing. Record any reduced choices, supplied reason, answer cue or model as content support. Retain the first response before prompting.</w:t>
      </w:r>
    </w:p>
    <w:p>
      <w:r>
        <w:t>Independent: Complete the fictional care, taught-word matching, privacy and permission checks, then the help request and follow-up. Review earlier evidence and choose a next step after feedback. Record help actually used.</w:t>
      </w:r>
    </w:p>
    <w:p>
      <w:r>
        <w:t>Aspire: Complete the same checks. Explain a reason from each story and use earlier work to show a stronger response or an unresolved gap. This deepens review of familiar learning, without adding new content.</w:t>
      </w:r>
    </w:p>
    <w:p>
      <w:r>
        <w:t>The word bank is part of the matching task. Record this condition. If terms or tasks are omitted, keep those gaps. Do not infer a full criterion from a reduced check.</w:t>
      </w:r>
    </w:p>
    <w:p>
      <w:r>
        <w:br w:type="page"/>
      </w:r>
    </w:p>
    <w:p>
      <w:pPr>
        <w:pStyle w:val="Heading1"/>
      </w:pPr>
      <w:r>
        <w:t>Safe teaching and evidence</w:t>
      </w:r>
    </w:p>
    <w:p>
      <w:pPr>
        <w:pStyle w:val="Heading1"/>
      </w:pPr>
      <w:r>
        <w:t>Boundaries and support</w:t>
      </w:r>
    </w:p>
    <w:p>
      <w:r>
        <w:t>All prompts are about fictional young people. Never ask about a learner’s own body, family or experiences. No touching, personal role-play or real-life comparison is required. An adult may narrate the fictional parts while the learner chooses or explains. Respect a pass, pause or aid without asking why. If a real concern arises, listen calmly and follow the setting’s safeguarding procedure promptly. Do not promise secrecy or use a disclosure as lesson evidence. Safety is the adult’s responsibility; a child is never to blame for another person’s harmful act.</w:t>
      </w:r>
    </w:p>
    <w:p>
      <w:pPr>
        <w:pStyle w:val="Heading1"/>
      </w:pPr>
      <w:r>
        <w:t>Assessment record and review</w:t>
      </w:r>
    </w:p>
    <w:p>
      <w:r>
        <w:t>An individual assessment record containing actual responses, support used and gaps, with initial responses and later feedback responses kept separate. Use the criterion record and half-term audit in Staff Answers. No total score or qualification completion is inferred.</w:t>
      </w:r>
    </w:p>
    <w:p>
      <w:r>
        <w:t>Use VF · WS · I · NS+ (Yellow Box) · // self-edit · ? read back · R responded · E evidence. R requires Voice, Audience, a specific NS+ prompt and the learner response in their own colour. E is recorded only when actual work is banked. Keep the initial record unchanged; record feedback and the later response separately.</w:t>
      </w:r>
    </w:p>
    <w:p>
      <w:pPr>
        <w:pStyle w:val="Heading1"/>
      </w:pPr>
      <w:r>
        <w:t>Learner voice and thread tags</w:t>
      </w:r>
    </w:p>
    <w:p>
      <w:r>
        <w:t>Allow the learner’s chosen response mode. Ask only about the fictional young person. Record exact responses, the help used and any decision to pause.</w:t>
      </w:r>
    </w:p>
    <w:p>
      <w:r>
        <w:t>S: value dignity and voice. M: distinguish care and respect from harmful acts. So: explain choices and help routes. IL: respect a pause, pass or aid. MR: respect privacy, refusal and communication needs. No other thread is claimed.</w:t>
      </w:r>
    </w:p>
    <w:p>
      <w:pPr>
        <w:pStyle w:val="Heading1"/>
      </w:pPr>
      <w:r>
        <w:t>Offer to the Communication portfolio</w:t>
      </w:r>
    </w:p>
    <w:p>
      <w:r>
        <w:t>A fictional help request and follow-up reply may be offered to the Communication portfolio. Keep the learner’s actual words, choices or aid response; staff confirm any mapping.</w:t>
      </w:r>
    </w:p>
    <w:p>
      <w:pPr>
        <w:pStyle w:val="Heading1"/>
      </w:pPr>
      <w:r>
        <w:t>Reflection</w:t>
      </w:r>
    </w:p>
    <w:p>
      <w:r>
        <w:t>Next teaching need: __________________________________________</w:t>
      </w:r>
    </w:p>
    <w:p>
      <w:r>
        <w:t>Learner request and change made: ______________________________</w:t>
      </w:r>
    </w:p>
    <w:p>
      <w:r>
        <w:t>Authority: owner-approved weekly outline, approved 26 October 2026. Earlier RSHE Weeks 1–6 inspected. Bundle shape: accepted Careers Week 7. No new workbook row is asserted.</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5"/>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RSHE-BUILD-A2-W07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Lesson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Lesson resource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 boundaries and help: assessing lesson</dc:title>
  <dc:subject>RSHE-BUILD-A2-W07 · Year A</dc:subject>
  <dc:creator>Lesson resource</dc:creator>
  <cp:keywords/>
  <dc:description/>
  <cp:lastModifiedBy>Lesson resource</cp:lastModifiedBy>
  <cp:revision>1</cp:revision>
  <dcterms:created xsi:type="dcterms:W3CDTF">2013-12-23T23:15:00Z</dcterms:created>
  <dcterms:modified xsi:type="dcterms:W3CDTF">2013-12-23T23:15:00Z</dcterms:modified>
  <cp:category/>
</cp:coreProperties>
</file>