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2316" w:hRule="atLeast"/>
          <w:cantSplit/>
        </w:trPr>
        <w:tc>
          <w:tcPr>
            <w:tcW w:type="dxa" w:w="7824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and Worldviews · GROW · Spring 1 · Week 3 · GROW-RE-S1-W03 · Date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/>
                <w:color w:val="182B32"/>
                <w:sz w:val="26"/>
              </w:rPr>
              <w:t>What do two sacred-text stories say about not giving up?</w:t>
            </w:r>
          </w:p>
          <w:p>
            <w:pPr>
              <w:spacing w:after="40"/>
              <w:shd w:fill="FFE4C8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Today I can… □ I can give a detail from each story. □ I can explain a resilience idea. □ I can separate a story’s claim from a promise about real life.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Feedback: □ VF □ WS □ I □ NS □ E □ R □ [//] □ [?]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learns about beliefs, change and resilience; this activity is not worship</w:t>
            </w:r>
          </w:p>
        </w:tc>
        <w:tc>
          <w:tcPr>
            <w:tcW w:type="dxa" w:w="680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spacing w:after="0"/>
              <w:ind w:left="0" w:right="0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1" name="Picture 1" descr="Approved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0" w:line="20" w:lineRule="exact" w:before="0"/>
            </w:pPr>
          </w:p>
        </w:tc>
      </w:tr>
    </w:tbl>
    <w:p>
      <w:pPr>
        <w:spacing w:before="80" w:after="80"/>
      </w:pPr>
      <w:r>
        <w:rPr>
          <w:rFonts w:ascii="Liberation Sans" w:hAnsi="Liberation Sans" w:eastAsia="Liberation Sans" w:cs="Liberation Sans"/>
          <w:b/>
          <w:color w:val="182B32"/>
          <w:sz w:val="26"/>
        </w:rPr>
        <w:t>Teacher and cover plan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1. Lesson outcome.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GROW-RE-S1-W03; Beliefs, change and resilience. Outcome: Explore stories of resilience from sacred texts. To be able to explain an idea of resilience in two sacred-text stories. Success today: I can… I can give a detail from each story. I can explain a resilience idea. I can separate a story’s claim from a promise about real life.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2. Arrival 1–4.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5 min · KEEP. Use one tier: three prior checks and the link. Keep four first responses; recap only after first try. TA: Help locate the tier, start within two minutes, then record actual source access; offer pointing before speech. Avoid: Do not answer the four questions or show recall before the first attempt. VF: “You have made a first attempt. I will note what you knew and what help you used.”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3. Starter.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3 min. Question: Does “this happens in the story” mean “this always happens in life”? In your book: One brief choice or response. TA: Read the one question and allow quiet thinking. Avoid: Do not supply the pupil’s response. VF: “I heard your choice. Tell or show me the part that led you to it.”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4. I Do.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6 min · KEEP. Use the complete I Do method model and its named source. Record one useful model step or word; no board copying. Hide the model before the own task. TA: Support attention to the current source and model step. Avoid: Do not give a parallel explanation or count copied model words as independent evidence. VF: “This is the model. Your later response will show how you use the method.”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5. We Do.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8 min · KEEP. Use the We Do source and prompt. Keep one guided example and the pupil’s own contribution before revealing the shared check. TA: Prompt a contribution and a record, then fade after the first success. Avoid: Do not complete the guided response for the pupil. VF: “You chose that detail. Check its link to the task; keep it or change it in your own way.”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6. You Do.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15 min · KEEP. Use the chosen source-based route. Keep the pupil’s response and review within the allocated You Do time; exact route and answer guidance are in Staff_Answers.pdf. TA: Use the held ladder only as needed, record help, then return to independence. Avoid: Do not give content answers, improve the pupil’s baseline or label prompted work independent. VF: “This detail supports your claim. Your next step is to check one link; show me your own edit or reason to keep it.”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7. Support routes.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Independent first; Supported then Choice as needed; Aspire is separate. Staff record actual I/S/C and exact prompts; leave the pupil’s box empty.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8. Adaptations / normal ways of working.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Short chunks; dual-coded vocabulary mat; reduced-source load; sentence stems/graphic organiser; one model before independence; reader/scribe/overlay/processing time. Two separate short retellings; story/meaning/limit organiser; adult reads without dramatic enactment. Space: private response and opt-out; return to one card and the first unfinished step. Planned regulation/movement break; return to the first unfinished source step. No cold calling; nobody is asked to read difficult text aloud.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9. TA focus.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Designated evidence adult: lesson TA; teacher captures if no TA is assigned. Record actual source access and prompting; never improve the baseline or mark prompted work independent. Held prompt ladder: page 2.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10. Exit 1–3.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3 min · KEEP. Use one tier and the whole fresh source: both unaltered checks, confidence 1–3 and separate adult prompt record. No other help; use responses for the next lesson. TA: Ensure access and an attempt or recorded pass; preserve the response. Avoid: Do not hint, change an answer or treat confidence as proof of learning. VF: “I have kept your answer as you gave it. It will help choose our next step.”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11. After teaching.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Misconception: ____________________  Response: ____________________ Next step: ____________________  Evaluation: ____________________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12. Preparation / evidence / cover essentials.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PPT; complete A/B/C source cards, word cards, blank record, selected route and Pause card. Educational RE, not worship; optional reflection and neutral case. No personal belief/loss disclosure, sacred originals, real flame or role-play. Keep recall covered until first try; model hidden for the own task and all help closed at Exit. Answers: Staff_Answers.pdf. TA captures the exact response, route and help; teacher receives it fully, names the change back and chooses the next step. Teacher captures if no TA. TA checks and uploads to the evidence app that day, 14:10–14:30. Record actual influence; R requires receipt and influence. KEEP: Keep both source stories, one idea and limit for each, and two Exit checks. Shorten optional Aspire before the essential task. Six-stage timeline (minutes): 00–05; 05–08; 08–14; 14–22; 22–37; 37–40.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2316" w:hRule="atLeast"/>
          <w:cantSplit/>
        </w:trPr>
        <w:tc>
          <w:tcPr>
            <w:tcW w:type="dxa" w:w="7824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and Worldviews · GROW · Spring 1 · Week 3 · GROW-RE-S1-W03 · Date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/>
                <w:color w:val="182B32"/>
                <w:sz w:val="26"/>
              </w:rPr>
              <w:t>What do two sacred-text stories say about not giving up?</w:t>
            </w:r>
          </w:p>
          <w:p>
            <w:pPr>
              <w:spacing w:after="40"/>
              <w:shd w:fill="FFE4C8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Today I can… □ I can give a detail from each story. □ I can explain a resilience idea. □ I can separate a story’s claim from a promise about real life.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Feedback: □ VF □ WS □ I □ NS □ E □ R □ [//] □ [?]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learns about beliefs, change and resilience; this activity is not worship</w:t>
            </w:r>
          </w:p>
        </w:tc>
        <w:tc>
          <w:tcPr>
            <w:tcW w:type="dxa" w:w="680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spacing w:after="0"/>
              <w:ind w:left="0" w:right="0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2" name="Picture 2" descr="Approved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0" w:line="20" w:lineRule="exact" w:before="0"/>
            </w:pPr>
          </w:p>
        </w:tc>
      </w:tr>
    </w:tbl>
    <w:p>
      <w:pPr>
        <w:spacing w:before="80" w:after="80"/>
      </w:pPr>
      <w:r>
        <w:rPr>
          <w:rFonts w:ascii="Liberation Sans" w:hAnsi="Liberation Sans" w:eastAsia="Liberation Sans" w:cs="Liberation Sans"/>
          <w:b/>
          <w:color w:val="182B32"/>
          <w:sz w:val="26"/>
        </w:rPr>
        <w:t>Key answers and adult prompt ladder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Arrival key answers.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Supported: 1. Belief in the central teacher rising from death/new life.; 2. Care or kindness.; 3. No.; 4. Yes; accept a sensible prior idea. Standard: 1. It linked the central teacher’s rising from death/new life with renewed hope.; 2. Kindness and care for people in need.; 3. No new safe room or completed solution had been established in the case.; 4. It can express a source idea or interpretation without being a universal rule; accept a sensible bridge idea. Stretch: 1. This Christian account links its belief in new life with hope; the pupil need not agree or state a belief.; 2. The account still urges care, and the practical need may remain.; 3. The source offers hope and calls for care, not proof that every hard situation or pain ends.; 4. An interpretation can be meaningful without determining every future event; accept a sensible prior distinction.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Exit Ticket key answers.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Supported: 1. Trust/help-seeking with the frightened travellers, or persistence with the repeated requests.; 2. No; these are particular sacred-text accounts, not a guarantee of outcomes. Standard: 1. X turns to the teacher for help/trust; Y repeatedly seeks justice/persists.; 2. They do not prove faith controls weather or that persistence always secures justice. Stretch: 1. Source-linked trust/help-seeking versus persistence, without ranking.; 2. The accounts express religious meaning; they do not establish a rule predicting every real storm or injustice.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Answer reference.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Staff_Answers.pdf: Arrival and Exit by tier, then guided and route answers. Check the accepted source before accepting equivalent answers.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Prompt ladder for adults.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1. Point to the relevant place / instruction. 2. Ask one short question: "What is it asking you to find?" 3. Rephrase the instruction in simpler language. 4. Provide a scaffold or limited choice. 5. Model the first step only, then return the task to the pupil.</w:t>
      </w:r>
    </w:p>
    <w:sectPr w:rsidR="00FC693F" w:rsidRPr="0006063C" w:rsidSect="00034616">
      <w:footerReference w:type="default" r:id="rId9"/>
      <w:pgSz w:w="11906" w:h="16838"/>
      <w:pgMar w:top="737" w:right="907" w:bottom="794" w:left="90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 w:cs="Liberation Sans"/>
        <w:b w:val="0"/>
        <w:color w:val="182B32"/>
        <w:sz w:val="22"/>
      </w:rPr>
      <w:t>Made from the web lesson GROW-RE-S1-W03 · version ______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Liberation Sans" w:hAnsi="Liberation Sans" w:eastAsia="Liberation Sans" w:cs="Liberation Sans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Liberation Sans" w:hAnsi="Liberation Sans" w:eastAsia="Liberation Sans" w:cs="Liberation Sans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Liberation Sans" w:hAnsi="Liberation Sans" w:eastAsia="Liberation Sans" w:cs="Liberation Sans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Liberation Sans" w:hAnsi="Liberation Sans" w:eastAsia="Liberation Sans" w:cs="Liberation San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ans" w:hAnsi="Liberation Sans" w:eastAsia="Liberation Sans" w:cs="Liberation Sans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Liberation Sans" w:hAnsi="Liberation Sans" w:eastAsia="Liberation Sans" w:cs="Liberation Sans"/>
      <w:sz w:val="22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 w:eastAsia="Liberation Sans" w:cs="Liberation Sans"/>
      <w:sz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 w:eastAsia="Liberation Sans" w:cs="Liberation Sans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Liberation Sans" w:hAnsi="Liberation Sans" w:eastAsia="Liberation Sans" w:cs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Liberation Sans" w:hAnsi="Liberation Sans" w:eastAsia="Liberation Sans" w:cs="Liberation San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Liberation Sans" w:hAnsi="Liberation Sans" w:eastAsia="Liberation Sans" w:cs="Liberation San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iberation Sans" w:hAnsi="Liberation Sans" w:eastAsia="Liberation Sans" w:cs="Liberation Sans"/>
      <w:color w:val="243F60" w:themeColor="accent1" w:themeShade="7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iberation Sans" w:hAnsi="Liberation Sans" w:eastAsia="Liberation Sans" w:cs="Liberation Sans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iberation Sans" w:hAnsi="Liberation Sans" w:eastAsia="Liberation Sans" w:cs="Liberation Sans"/>
      <w:i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iberation Sans" w:hAnsi="Liberation Sans" w:eastAsia="Liberation Sans" w:cs="Liberation Sans"/>
      <w:color w:val="4F81BD" w:themeColor="accent1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iberation Sans" w:hAnsi="Liberation Sans" w:eastAsia="Liberation Sans" w:cs="Liberation Sans"/>
      <w:i/>
      <w:iCs/>
      <w:color w:val="404040" w:themeColor="text1" w:themeTint="BF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 w:eastAsia="Liberation Sans" w:cs="Liberation Sans"/>
      <w:sz w:val="22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 w:eastAsia="Liberation Sans" w:cs="Liberation Sans"/>
      <w:sz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iberation Sans" w:hAnsi="Liberation Sans" w:eastAsia="Liberation Sans" w:cs="Liberation Sans"/>
      <w:b/>
      <w:bCs/>
      <w:color w:val="365F91" w:themeColor="accent1" w:themeShade="BF"/>
      <w:sz w:val="2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2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Liberation Sans" w:hAnsi="Liberation Sans" w:eastAsia="Liberation Sans" w:cs="Liberation Sans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iberation Sans" w:hAnsi="Liberation Sans" w:eastAsia="Liberation Sans" w:cs="Liberation Sans"/>
      <w:i/>
      <w:iCs/>
      <w:color w:val="4F81BD" w:themeColor="accent1"/>
      <w:spacing w:val="15"/>
      <w:sz w:val="22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 w:eastAsia="Liberation Sans" w:cs="Liberation Sans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 w:eastAsia="Liberation Sans" w:cs="Liberation Sans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 w:eastAsia="Liberation Sans" w:cs="Liberation Sans"/>
      <w:sz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 w:eastAsia="Liberation Sans" w:cs="Liberation Sans"/>
      <w:sz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 w:eastAsia="Liberation Sans" w:cs="Liberation Sans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 w:eastAsia="Liberation Sans" w:cs="Liberation Sans"/>
      <w:sz w:val="22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 w:eastAsia="Liberation Sans" w:cs="Liberation Sans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 w:eastAsia="Liberation Sans" w:cs="Liberation Sans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 w:eastAsia="Liberation Sans" w:cs="Liberation San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 w:eastAsia="Liberation Sans" w:cs="Liberation Sans"/>
      <w:sz w:val="22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 w:eastAsia="Liberation Sans" w:cs="Liberation Sans"/>
      <w:i/>
      <w:iCs/>
      <w:color w:val="000000" w:themeColor="text1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 w:eastAsia="Liberation Sans" w:cs="Liberation Sans"/>
      <w:i/>
      <w:iCs/>
      <w:color w:val="000000" w:themeColor="text1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iberation Sans" w:hAnsi="Liberation Sans" w:eastAsia="Liberation Sans" w:cs="Liberation Sans"/>
      <w:color w:val="243F60" w:themeColor="accent1" w:themeShade="7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iberation Sans" w:hAnsi="Liberation Sans" w:eastAsia="Liberation Sans" w:cs="Liberation Sans"/>
      <w:i/>
      <w:iCs/>
      <w:color w:val="243F60" w:themeColor="accent1" w:themeShade="7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iberation Sans" w:hAnsi="Liberation Sans" w:eastAsia="Liberation Sans" w:cs="Liberation Sans"/>
      <w:color w:val="4F81BD" w:themeColor="accent1"/>
      <w:sz w:val="2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  <w:sz w:val="22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 w:eastAsia="Liberation Sans" w:cs="Liberation Sans"/>
      <w:b/>
      <w:bCs/>
      <w:color w:val="4F81BD" w:themeColor="accent1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 w:eastAsia="Liberation Sans" w:cs="Liberation Sans"/>
      <w:b/>
      <w:bCs/>
      <w:sz w:val="22"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 w:eastAsia="Liberation Sans" w:cs="Liberation Sans"/>
      <w:i/>
      <w:iCs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 w:eastAsia="Liberation Sans" w:cs="Liberation Sans"/>
      <w:i/>
      <w:iCs/>
      <w:color w:val="808080" w:themeColor="text1" w:themeTint="7F"/>
      <w:sz w:val="22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 w:eastAsia="Liberation Sans" w:cs="Liberation Sans"/>
      <w:smallCaps/>
      <w:color w:val="C0504D" w:themeColor="accent2"/>
      <w:sz w:val="2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 w:eastAsia="Liberation Sans" w:cs="Liberation Sans"/>
      <w:b/>
      <w:bCs/>
      <w:smallCaps/>
      <w:color w:val="C0504D" w:themeColor="accent2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 w:eastAsia="Liberation Sans" w:cs="Liberation Sans"/>
      <w:b/>
      <w:bCs/>
      <w:smallCaps/>
      <w:spacing w:val="5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 w:eastAsia="Liberation Sans" w:cs="Liberation Sans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000000" w:themeColor="text1" w:themeShade="BF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365F91" w:themeColor="accent1" w:themeShade="BF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943634" w:themeColor="accent2" w:themeShade="BF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76923C" w:themeColor="accent3" w:themeShade="BF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5F497A" w:themeColor="accent4" w:themeShade="BF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31849B" w:themeColor="accent5" w:themeShade="BF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E36C0A" w:themeColor="accent6" w:themeShade="BF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ans" w:hAnsi="Liberation Sans" w:eastAsia="Liberation Sans" w:cs="Liberation Sans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Liberation Sans" w:hAnsi="Liberation Sans" w:eastAsia="Liberation Sans" w:cs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iberation Sans" w:hAnsi="Liberation Sans" w:eastAsia="Liberation Sans" w:cs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iberation Sans" w:hAnsi="Liberation Sans" w:eastAsia="Liberation Sans" w:cs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iberation Sans" w:hAnsi="Liberation Sans" w:eastAsia="Liberation Sans" w:cs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iberation Sans" w:hAnsi="Liberation Sans" w:eastAsia="Liberation Sans" w:cs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iberation Sans" w:hAnsi="Liberation Sans" w:eastAsia="Liberation Sans" w:cs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 w:eastAsia="Liberation Sans" w:cs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 w:eastAsia="Liberation Sans" w:cs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iberation Sans" w:hAnsi="Liberation Sans" w:eastAsia="Liberation Sans" w:cs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iberation Sans" w:hAnsi="Liberation Sans" w:eastAsia="Liberation Sans" w:cs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iberation Sans" w:hAnsi="Liberation Sans" w:eastAsia="Liberation Sans" w:cs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ans"/>
        <a:ea typeface="Liberation Sans"/>
        <a:cs typeface="Liberation Sans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</a:majorFont>
      <a:minorFont>
        <a:latin typeface="Liberation Sans"/>
        <a:ea typeface="Liberation Sans"/>
        <a:cs typeface="Liberation Sans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do two sacred-text stories say about not giving up?</dc:title>
  <dc:subject>GROW-RE-S1-W03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en-GB</dc:language>
</cp:coreProperties>
</file>